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01665D23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825678">
        <w:rPr>
          <w:color w:val="000000" w:themeColor="text1"/>
          <w:sz w:val="19"/>
          <w:szCs w:val="19"/>
          <w:lang w:val="cs-CZ"/>
        </w:rPr>
        <w:t>26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DE1B79">
        <w:rPr>
          <w:color w:val="000000" w:themeColor="text1"/>
          <w:sz w:val="19"/>
          <w:szCs w:val="19"/>
          <w:lang w:val="cs-CZ"/>
        </w:rPr>
        <w:t>1</w:t>
      </w:r>
      <w:r w:rsidR="00825678">
        <w:rPr>
          <w:color w:val="000000" w:themeColor="text1"/>
          <w:sz w:val="19"/>
          <w:szCs w:val="19"/>
          <w:lang w:val="cs-CZ"/>
        </w:rPr>
        <w:t>0</w:t>
      </w:r>
      <w:r>
        <w:rPr>
          <w:color w:val="000000" w:themeColor="text1"/>
          <w:sz w:val="19"/>
          <w:szCs w:val="19"/>
          <w:lang w:val="cs-CZ"/>
        </w:rPr>
        <w:t>. 202</w:t>
      </w:r>
      <w:r w:rsidR="00825678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EC2B9A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324794F2" w14:textId="009CF809" w:rsidR="00825678" w:rsidRPr="00825678" w:rsidRDefault="00825678" w:rsidP="00825678">
      <w:pPr>
        <w:rPr>
          <w:b/>
          <w:sz w:val="22"/>
          <w:szCs w:val="22"/>
        </w:rPr>
      </w:pPr>
      <w:r w:rsidRPr="00825678">
        <w:rPr>
          <w:b/>
          <w:bCs/>
          <w:sz w:val="28"/>
          <w:szCs w:val="28"/>
          <w:lang w:eastAsia="en-US"/>
        </w:rPr>
        <w:t>Dobrodružná hra ve městě. Konference na FA ČVUT představí hřiště, která si tvoří a staví samy děti</w:t>
      </w:r>
      <w:r>
        <w:rPr>
          <w:b/>
          <w:bCs/>
          <w:lang w:eastAsia="en-US"/>
        </w:rPr>
        <w:br/>
      </w:r>
      <w:r w:rsidR="00DE1B79">
        <w:rPr>
          <w:rStyle w:val="Siln"/>
          <w:sz w:val="22"/>
          <w:szCs w:val="22"/>
        </w:rPr>
        <w:br/>
      </w:r>
      <w:bookmarkStart w:id="0" w:name="_Hlk148954575"/>
      <w:bookmarkStart w:id="1" w:name="_GoBack"/>
      <w:r w:rsidRPr="00825678">
        <w:rPr>
          <w:b/>
          <w:sz w:val="22"/>
          <w:szCs w:val="22"/>
        </w:rPr>
        <w:t>3. listopadu se na Fakultě architektury ČVUT uskuteční čtvrtý ročník konference Architektura dětem. Věnovat se bude tématu dobrodružné hry ve městě, především konceptu Adventure playground, kter</w:t>
      </w:r>
      <w:r w:rsidR="00A5476F">
        <w:rPr>
          <w:b/>
          <w:sz w:val="22"/>
          <w:szCs w:val="22"/>
        </w:rPr>
        <w:t>ý</w:t>
      </w:r>
      <w:r w:rsidRPr="00825678">
        <w:rPr>
          <w:b/>
          <w:sz w:val="22"/>
          <w:szCs w:val="22"/>
        </w:rPr>
        <w:t xml:space="preserve"> najdeme v</w:t>
      </w:r>
      <w:r w:rsidRPr="00825678">
        <w:rPr>
          <w:rFonts w:ascii="Cambria" w:hAnsi="Cambria" w:cs="Cambria"/>
          <w:b/>
          <w:sz w:val="22"/>
          <w:szCs w:val="22"/>
        </w:rPr>
        <w:t> </w:t>
      </w:r>
      <w:r w:rsidRPr="00825678">
        <w:rPr>
          <w:b/>
          <w:sz w:val="22"/>
          <w:szCs w:val="22"/>
        </w:rPr>
        <w:t>okoln</w:t>
      </w:r>
      <w:r w:rsidRPr="00825678">
        <w:rPr>
          <w:rFonts w:cs="Technika"/>
          <w:b/>
          <w:sz w:val="22"/>
          <w:szCs w:val="22"/>
        </w:rPr>
        <w:t>í</w:t>
      </w:r>
      <w:r w:rsidRPr="00825678">
        <w:rPr>
          <w:b/>
          <w:sz w:val="22"/>
          <w:szCs w:val="22"/>
        </w:rPr>
        <w:t>ch evropsk</w:t>
      </w:r>
      <w:r w:rsidRPr="00825678">
        <w:rPr>
          <w:rFonts w:cs="Technika"/>
          <w:b/>
          <w:sz w:val="22"/>
          <w:szCs w:val="22"/>
        </w:rPr>
        <w:t>ý</w:t>
      </w:r>
      <w:r w:rsidRPr="00825678">
        <w:rPr>
          <w:b/>
          <w:sz w:val="22"/>
          <w:szCs w:val="22"/>
        </w:rPr>
        <w:t>ch zemích, u nás však stále chybí.</w:t>
      </w:r>
      <w:bookmarkEnd w:id="1"/>
    </w:p>
    <w:bookmarkEnd w:id="0"/>
    <w:p w14:paraId="0C81A465" w14:textId="2B43F3E5" w:rsidR="00CF249E" w:rsidRPr="00CF249E" w:rsidRDefault="00CF249E" w:rsidP="00CF249E">
      <w:pPr>
        <w:rPr>
          <w:rFonts w:cs="Arial"/>
          <w:b/>
          <w:bCs/>
          <w:sz w:val="22"/>
          <w:szCs w:val="22"/>
        </w:rPr>
      </w:pPr>
    </w:p>
    <w:p w14:paraId="40D34F5A" w14:textId="07387761" w:rsidR="00825678" w:rsidRPr="00825678" w:rsidRDefault="00825678" w:rsidP="00825678">
      <w:pPr>
        <w:rPr>
          <w:rFonts w:cstheme="minorHAnsi"/>
          <w:sz w:val="24"/>
        </w:rPr>
      </w:pPr>
      <w:r w:rsidRPr="00825678">
        <w:rPr>
          <w:rFonts w:cstheme="minorHAnsi"/>
          <w:sz w:val="24"/>
        </w:rPr>
        <w:t>Dnešní děti mají ve městě k</w:t>
      </w:r>
      <w:r w:rsidRPr="00825678">
        <w:rPr>
          <w:rFonts w:ascii="Cambria" w:hAnsi="Cambria" w:cs="Cambria"/>
          <w:sz w:val="24"/>
        </w:rPr>
        <w:t> </w:t>
      </w:r>
      <w:r w:rsidRPr="00825678">
        <w:rPr>
          <w:rFonts w:cstheme="minorHAnsi"/>
          <w:sz w:val="24"/>
        </w:rPr>
        <w:t>dispozici produktové herní sestavy, poskytují jim ale dostatečný prostor ke svobodné a tvořivé hře? Kde si mohou děti tvořit svůj vlastní svět, stavět, bořit, zkoušet vlastní sílu, odhad i limity?</w:t>
      </w:r>
      <w:r w:rsidR="00A5476F">
        <w:rPr>
          <w:rFonts w:cstheme="minorHAnsi"/>
          <w:sz w:val="24"/>
        </w:rPr>
        <w:t xml:space="preserve"> </w:t>
      </w:r>
      <w:r w:rsidRPr="00825678">
        <w:rPr>
          <w:rFonts w:cstheme="minorHAnsi"/>
          <w:i/>
          <w:sz w:val="24"/>
        </w:rPr>
        <w:t>„Zamysleme se nad podobou současného města z pohledu dětí: jsou děti rovnocennými uživateli veřejného prostoru? Jaké mají příležitosti ke hře? Prostory, které vymezujeme pro děti, mají často podobu jakési zlaté klece: klasická oplocená dětská hřiště se sériovými prvky děti od městského života spíše izolují a svým pojednáním do značné míry diktují nejen kde, ale i jak si mají hrát. Takové herní prostory ze své podstaty nemohou naplnit potřeby dětí, především potřebu volné, tvořivé hry</w:t>
      </w:r>
      <w:r w:rsidR="00A5476F">
        <w:rPr>
          <w:rFonts w:cstheme="minorHAnsi"/>
          <w:i/>
          <w:sz w:val="24"/>
        </w:rPr>
        <w:t>,</w:t>
      </w:r>
      <w:r w:rsidRPr="00825678">
        <w:rPr>
          <w:rFonts w:cstheme="minorHAnsi"/>
          <w:i/>
          <w:sz w:val="24"/>
        </w:rPr>
        <w:t>“</w:t>
      </w:r>
      <w:r w:rsidRPr="00825678">
        <w:rPr>
          <w:rFonts w:cstheme="minorHAnsi"/>
          <w:sz w:val="24"/>
        </w:rPr>
        <w:t xml:space="preserve"> konstatují architektky Mirjana Petrik a Magdalena Smetanová ze spolku Město přátelské dětem a hlavní organizátorky konference.  </w:t>
      </w:r>
    </w:p>
    <w:p w14:paraId="660EFF8B" w14:textId="77777777" w:rsidR="00825678" w:rsidRPr="00825678" w:rsidRDefault="00825678" w:rsidP="00825678">
      <w:pPr>
        <w:rPr>
          <w:rFonts w:cstheme="minorHAnsi"/>
          <w:sz w:val="24"/>
        </w:rPr>
      </w:pPr>
    </w:p>
    <w:p w14:paraId="05980318" w14:textId="2722285D" w:rsidR="00825678" w:rsidRDefault="00825678" w:rsidP="00825678">
      <w:pPr>
        <w:rPr>
          <w:rFonts w:eastAsia="Times New Roman" w:cstheme="minorHAnsi"/>
          <w:sz w:val="24"/>
          <w:lang w:eastAsia="cs-CZ"/>
        </w:rPr>
      </w:pPr>
      <w:r w:rsidRPr="00825678">
        <w:rPr>
          <w:rFonts w:cstheme="minorHAnsi"/>
          <w:sz w:val="24"/>
        </w:rPr>
        <w:t>Koncept Adventure playground vznikl ve 40. letech v</w:t>
      </w:r>
      <w:r w:rsidRPr="00825678">
        <w:rPr>
          <w:rFonts w:ascii="Cambria" w:hAnsi="Cambria" w:cs="Cambria"/>
          <w:sz w:val="24"/>
        </w:rPr>
        <w:t> </w:t>
      </w:r>
      <w:r w:rsidRPr="00825678">
        <w:rPr>
          <w:rFonts w:cstheme="minorHAnsi"/>
          <w:sz w:val="24"/>
        </w:rPr>
        <w:t>D</w:t>
      </w:r>
      <w:r w:rsidRPr="00825678">
        <w:rPr>
          <w:rFonts w:cs="Technika"/>
          <w:sz w:val="24"/>
        </w:rPr>
        <w:t>á</w:t>
      </w:r>
      <w:r w:rsidRPr="00825678">
        <w:rPr>
          <w:rFonts w:cstheme="minorHAnsi"/>
          <w:sz w:val="24"/>
        </w:rPr>
        <w:t>nsku a městským dětem dopřává to,</w:t>
      </w:r>
      <w:r w:rsidRPr="00825678">
        <w:rPr>
          <w:sz w:val="24"/>
        </w:rPr>
        <w:t xml:space="preserve"> </w:t>
      </w:r>
      <w:r w:rsidRPr="00825678">
        <w:rPr>
          <w:rFonts w:cstheme="minorHAnsi"/>
          <w:sz w:val="24"/>
        </w:rPr>
        <w:t>co s rostoucí hustotou zástavby a dopravní infra</w:t>
      </w:r>
      <w:r w:rsidR="00A5476F">
        <w:rPr>
          <w:rFonts w:cstheme="minorHAnsi"/>
          <w:sz w:val="24"/>
        </w:rPr>
        <w:t>struktury</w:t>
      </w:r>
      <w:r w:rsidRPr="00825678">
        <w:rPr>
          <w:rFonts w:cstheme="minorHAnsi"/>
          <w:sz w:val="24"/>
        </w:rPr>
        <w:t xml:space="preserve"> postupně ztratily.</w:t>
      </w:r>
      <w:r w:rsidR="00A5476F">
        <w:rPr>
          <w:rFonts w:cstheme="minorHAnsi"/>
          <w:sz w:val="24"/>
        </w:rPr>
        <w:t xml:space="preserve"> </w:t>
      </w:r>
      <w:r w:rsidRPr="00825678">
        <w:rPr>
          <w:rFonts w:cstheme="minorHAnsi"/>
          <w:sz w:val="24"/>
        </w:rPr>
        <w:t xml:space="preserve">Pracuje s myšlenkou, že inspirativní prostor pro hru by neměl být nikdy zcela hotový. </w:t>
      </w:r>
      <w:r w:rsidRPr="00825678">
        <w:rPr>
          <w:rFonts w:eastAsia="Times New Roman" w:cstheme="minorHAnsi"/>
          <w:sz w:val="24"/>
          <w:lang w:eastAsia="cs-CZ"/>
        </w:rPr>
        <w:t>Děti mají volnost, řídí si vlastní hru, staví, budují, řežou, motají, skládají, pracují s nástroji.</w:t>
      </w:r>
    </w:p>
    <w:p w14:paraId="34176AE1" w14:textId="77777777" w:rsidR="00825678" w:rsidRPr="00825678" w:rsidRDefault="00825678" w:rsidP="00825678">
      <w:pPr>
        <w:rPr>
          <w:rFonts w:eastAsia="Times New Roman" w:cstheme="minorHAnsi"/>
          <w:sz w:val="24"/>
          <w:lang w:eastAsia="cs-CZ"/>
        </w:rPr>
      </w:pPr>
    </w:p>
    <w:p w14:paraId="6E43DE9B" w14:textId="64733393" w:rsidR="00825678" w:rsidRDefault="00825678" w:rsidP="00825678">
      <w:pPr>
        <w:rPr>
          <w:rFonts w:eastAsia="Times New Roman" w:cstheme="minorHAnsi"/>
          <w:sz w:val="24"/>
          <w:lang w:eastAsia="cs-CZ"/>
        </w:rPr>
      </w:pPr>
    </w:p>
    <w:p w14:paraId="328E8CA8" w14:textId="21B6E558" w:rsidR="00A5476F" w:rsidRDefault="00A5476F" w:rsidP="00825678">
      <w:pPr>
        <w:rPr>
          <w:rFonts w:eastAsia="Times New Roman" w:cstheme="minorHAnsi"/>
          <w:sz w:val="24"/>
          <w:lang w:eastAsia="cs-CZ"/>
        </w:rPr>
      </w:pPr>
    </w:p>
    <w:p w14:paraId="0089326C" w14:textId="77777777" w:rsidR="00A5476F" w:rsidRPr="00825678" w:rsidRDefault="00A5476F" w:rsidP="00825678">
      <w:pPr>
        <w:rPr>
          <w:rFonts w:eastAsia="Times New Roman" w:cstheme="minorHAnsi"/>
          <w:sz w:val="24"/>
          <w:lang w:eastAsia="cs-CZ"/>
        </w:rPr>
      </w:pPr>
    </w:p>
    <w:p w14:paraId="33BB6991" w14:textId="77777777" w:rsidR="00825678" w:rsidRPr="00825678" w:rsidRDefault="00825678" w:rsidP="00825678">
      <w:pPr>
        <w:rPr>
          <w:rFonts w:cstheme="minorHAnsi"/>
          <w:sz w:val="24"/>
        </w:rPr>
      </w:pPr>
      <w:r w:rsidRPr="00825678">
        <w:rPr>
          <w:rFonts w:eastAsia="Times New Roman" w:cstheme="minorHAnsi"/>
          <w:sz w:val="24"/>
          <w:lang w:eastAsia="cs-CZ"/>
        </w:rPr>
        <w:lastRenderedPageBreak/>
        <w:t>„</w:t>
      </w:r>
      <w:r w:rsidRPr="00825678">
        <w:rPr>
          <w:rFonts w:eastAsia="Times New Roman" w:cstheme="minorHAnsi"/>
          <w:i/>
          <w:sz w:val="24"/>
          <w:lang w:eastAsia="cs-CZ"/>
        </w:rPr>
        <w:t>Dnešní děti mají málo příležitostí pracovat s</w:t>
      </w:r>
      <w:r w:rsidRPr="00825678">
        <w:rPr>
          <w:rFonts w:ascii="Cambria" w:eastAsia="Times New Roman" w:hAnsi="Cambria" w:cs="Cambria"/>
          <w:i/>
          <w:sz w:val="24"/>
          <w:lang w:eastAsia="cs-CZ"/>
        </w:rPr>
        <w:t> </w:t>
      </w:r>
      <w:r w:rsidRPr="00825678">
        <w:rPr>
          <w:rFonts w:eastAsia="Times New Roman" w:cstheme="minorHAnsi"/>
          <w:i/>
          <w:sz w:val="24"/>
          <w:lang w:eastAsia="cs-CZ"/>
        </w:rPr>
        <w:t>n</w:t>
      </w:r>
      <w:r w:rsidRPr="00825678">
        <w:rPr>
          <w:rFonts w:eastAsia="Times New Roman" w:cs="Technika"/>
          <w:i/>
          <w:sz w:val="24"/>
          <w:lang w:eastAsia="cs-CZ"/>
        </w:rPr>
        <w:t>á</w:t>
      </w:r>
      <w:r w:rsidRPr="00825678">
        <w:rPr>
          <w:rFonts w:eastAsia="Times New Roman" w:cstheme="minorHAnsi"/>
          <w:i/>
          <w:sz w:val="24"/>
          <w:lang w:eastAsia="cs-CZ"/>
        </w:rPr>
        <w:t>stroji, ub</w:t>
      </w:r>
      <w:r w:rsidRPr="00825678">
        <w:rPr>
          <w:rFonts w:eastAsia="Times New Roman" w:cs="Technika"/>
          <w:i/>
          <w:sz w:val="24"/>
          <w:lang w:eastAsia="cs-CZ"/>
        </w:rPr>
        <w:t>ý</w:t>
      </w:r>
      <w:r w:rsidRPr="00825678">
        <w:rPr>
          <w:rFonts w:eastAsia="Times New Roman" w:cstheme="minorHAnsi"/>
          <w:i/>
          <w:sz w:val="24"/>
          <w:lang w:eastAsia="cs-CZ"/>
        </w:rPr>
        <w:t>v</w:t>
      </w:r>
      <w:r w:rsidRPr="00825678">
        <w:rPr>
          <w:rFonts w:eastAsia="Times New Roman" w:cs="Technika"/>
          <w:i/>
          <w:sz w:val="24"/>
          <w:lang w:eastAsia="cs-CZ"/>
        </w:rPr>
        <w:t>á</w:t>
      </w:r>
      <w:r w:rsidRPr="00825678">
        <w:rPr>
          <w:rFonts w:eastAsia="Times New Roman" w:cstheme="minorHAnsi"/>
          <w:i/>
          <w:sz w:val="24"/>
          <w:lang w:eastAsia="cs-CZ"/>
        </w:rPr>
        <w:t xml:space="preserve"> míst, kde mohou volně tvořit a hrát si v</w:t>
      </w:r>
      <w:r w:rsidRPr="00825678">
        <w:rPr>
          <w:rFonts w:ascii="Cambria" w:eastAsia="Times New Roman" w:hAnsi="Cambria" w:cs="Cambria"/>
          <w:i/>
          <w:sz w:val="24"/>
          <w:lang w:eastAsia="cs-CZ"/>
        </w:rPr>
        <w:t> </w:t>
      </w:r>
      <w:r w:rsidRPr="00825678">
        <w:rPr>
          <w:rFonts w:eastAsia="Times New Roman" w:cstheme="minorHAnsi"/>
          <w:i/>
          <w:sz w:val="24"/>
          <w:lang w:eastAsia="cs-CZ"/>
        </w:rPr>
        <w:t>prost</w:t>
      </w:r>
      <w:r w:rsidRPr="00825678">
        <w:rPr>
          <w:rFonts w:eastAsia="Times New Roman" w:cs="Technika"/>
          <w:i/>
          <w:sz w:val="24"/>
          <w:lang w:eastAsia="cs-CZ"/>
        </w:rPr>
        <w:t>ř</w:t>
      </w:r>
      <w:r w:rsidRPr="00825678">
        <w:rPr>
          <w:rFonts w:eastAsia="Times New Roman" w:cstheme="minorHAnsi"/>
          <w:i/>
          <w:sz w:val="24"/>
          <w:lang w:eastAsia="cs-CZ"/>
        </w:rPr>
        <w:t>ed</w:t>
      </w:r>
      <w:r w:rsidRPr="00825678">
        <w:rPr>
          <w:rFonts w:eastAsia="Times New Roman" w:cs="Technika"/>
          <w:i/>
          <w:sz w:val="24"/>
          <w:lang w:eastAsia="cs-CZ"/>
        </w:rPr>
        <w:t>í</w:t>
      </w:r>
      <w:r w:rsidRPr="00825678">
        <w:rPr>
          <w:rFonts w:eastAsia="Times New Roman" w:cstheme="minorHAnsi"/>
          <w:i/>
          <w:sz w:val="24"/>
          <w:lang w:eastAsia="cs-CZ"/>
        </w:rPr>
        <w:t>, kter</w:t>
      </w:r>
      <w:r w:rsidRPr="00825678">
        <w:rPr>
          <w:rFonts w:eastAsia="Times New Roman" w:cs="Technika"/>
          <w:i/>
          <w:sz w:val="24"/>
          <w:lang w:eastAsia="cs-CZ"/>
        </w:rPr>
        <w:t>é</w:t>
      </w:r>
      <w:r w:rsidRPr="00825678">
        <w:rPr>
          <w:rFonts w:eastAsia="Times New Roman" w:cstheme="minorHAnsi"/>
          <w:i/>
          <w:sz w:val="24"/>
          <w:lang w:eastAsia="cs-CZ"/>
        </w:rPr>
        <w:t xml:space="preserve"> si samy postav</w:t>
      </w:r>
      <w:r w:rsidRPr="00825678">
        <w:rPr>
          <w:rFonts w:eastAsia="Times New Roman" w:cs="Technika"/>
          <w:i/>
          <w:sz w:val="24"/>
          <w:lang w:eastAsia="cs-CZ"/>
        </w:rPr>
        <w:t>í</w:t>
      </w:r>
      <w:r w:rsidRPr="00825678">
        <w:rPr>
          <w:rFonts w:eastAsia="Times New Roman" w:cstheme="minorHAnsi"/>
          <w:i/>
          <w:sz w:val="24"/>
          <w:lang w:eastAsia="cs-CZ"/>
        </w:rPr>
        <w:t>. Dejme d</w:t>
      </w:r>
      <w:r w:rsidRPr="00825678">
        <w:rPr>
          <w:rFonts w:eastAsia="Times New Roman" w:cs="Technika"/>
          <w:i/>
          <w:sz w:val="24"/>
          <w:lang w:eastAsia="cs-CZ"/>
        </w:rPr>
        <w:t>ě</w:t>
      </w:r>
      <w:r w:rsidRPr="00825678">
        <w:rPr>
          <w:rFonts w:eastAsia="Times New Roman" w:cstheme="minorHAnsi"/>
          <w:i/>
          <w:sz w:val="24"/>
          <w:lang w:eastAsia="cs-CZ"/>
        </w:rPr>
        <w:t>tem do rukou n</w:t>
      </w:r>
      <w:r w:rsidRPr="00825678">
        <w:rPr>
          <w:rFonts w:eastAsia="Times New Roman" w:cs="Technika"/>
          <w:i/>
          <w:sz w:val="24"/>
          <w:lang w:eastAsia="cs-CZ"/>
        </w:rPr>
        <w:t>á</w:t>
      </w:r>
      <w:r w:rsidRPr="00825678">
        <w:rPr>
          <w:rFonts w:eastAsia="Times New Roman" w:cstheme="minorHAnsi"/>
          <w:i/>
          <w:sz w:val="24"/>
          <w:lang w:eastAsia="cs-CZ"/>
        </w:rPr>
        <w:t>stroje a šanci být aktivními tvůrci svého herního prostoru, zvládnou to!“,</w:t>
      </w:r>
      <w:r w:rsidRPr="00825678">
        <w:rPr>
          <w:rFonts w:eastAsia="Times New Roman" w:cstheme="minorHAnsi"/>
          <w:sz w:val="24"/>
          <w:lang w:eastAsia="cs-CZ"/>
        </w:rPr>
        <w:t xml:space="preserve"> říká metodička a pedagožka Carolina Sidon.</w:t>
      </w:r>
    </w:p>
    <w:p w14:paraId="37CD9BD8" w14:textId="77777777" w:rsidR="00825678" w:rsidRPr="00825678" w:rsidRDefault="00825678" w:rsidP="00825678">
      <w:pPr>
        <w:spacing w:before="100" w:beforeAutospacing="1" w:after="100" w:afterAutospacing="1" w:line="240" w:lineRule="auto"/>
        <w:rPr>
          <w:rFonts w:eastAsia="Times New Roman" w:cstheme="minorHAnsi"/>
          <w:sz w:val="24"/>
          <w:lang w:eastAsia="cs-CZ"/>
        </w:rPr>
      </w:pPr>
      <w:r w:rsidRPr="00825678">
        <w:rPr>
          <w:rFonts w:eastAsia="Times New Roman" w:cstheme="minorHAnsi"/>
          <w:sz w:val="24"/>
          <w:lang w:eastAsia="cs-CZ"/>
        </w:rPr>
        <w:t xml:space="preserve">Konference si klade za cíl představit nové formy inspirativních herních prostorů jako samozřejmé součásti městského prostředí. Chce také podnítit debatu o možnostech vzniku prvního takového hřiště u nás a o dětech jako partnerech při navrhování, realizaci a užívání herních prostor. </w:t>
      </w:r>
    </w:p>
    <w:p w14:paraId="65E081D6" w14:textId="2DC7350A" w:rsidR="00825678" w:rsidRPr="00825678" w:rsidRDefault="00825678" w:rsidP="00825678">
      <w:pPr>
        <w:rPr>
          <w:rFonts w:eastAsia="Times New Roman" w:cstheme="minorHAnsi"/>
          <w:color w:val="313131"/>
          <w:sz w:val="24"/>
        </w:rPr>
      </w:pPr>
      <w:r w:rsidRPr="00825678">
        <w:rPr>
          <w:rFonts w:cstheme="minorHAnsi"/>
          <w:bCs/>
          <w:sz w:val="24"/>
        </w:rPr>
        <w:t>Dopolední přednáškový blok bude</w:t>
      </w:r>
      <w:r w:rsidRPr="00825678">
        <w:rPr>
          <w:rFonts w:cstheme="minorHAnsi"/>
          <w:sz w:val="24"/>
        </w:rPr>
        <w:t xml:space="preserve"> zaměřen především na studující z</w:t>
      </w:r>
      <w:r w:rsidR="00A5476F">
        <w:rPr>
          <w:rFonts w:ascii="Cambria" w:hAnsi="Cambria" w:cs="Cambria"/>
          <w:sz w:val="24"/>
        </w:rPr>
        <w:t> </w:t>
      </w:r>
      <w:r w:rsidRPr="00825678">
        <w:rPr>
          <w:rFonts w:cstheme="minorHAnsi"/>
          <w:sz w:val="24"/>
        </w:rPr>
        <w:t>FA</w:t>
      </w:r>
      <w:r w:rsidR="00A5476F">
        <w:rPr>
          <w:rFonts w:cstheme="minorHAnsi"/>
          <w:sz w:val="24"/>
        </w:rPr>
        <w:t xml:space="preserve"> ČVUT</w:t>
      </w:r>
      <w:r w:rsidRPr="00825678">
        <w:rPr>
          <w:rFonts w:cstheme="minorHAnsi"/>
          <w:sz w:val="24"/>
        </w:rPr>
        <w:t xml:space="preserve">. Nastíní </w:t>
      </w:r>
      <w:r w:rsidRPr="00825678">
        <w:rPr>
          <w:rFonts w:cstheme="minorHAnsi"/>
          <w:bCs/>
          <w:sz w:val="24"/>
        </w:rPr>
        <w:t xml:space="preserve">současnou situaci včetně legislativy a možnosti, jak přistupovat k integraci hry do veřejného prostoru města. </w:t>
      </w:r>
      <w:r w:rsidRPr="00825678">
        <w:rPr>
          <w:rFonts w:cstheme="minorHAnsi"/>
          <w:sz w:val="24"/>
        </w:rPr>
        <w:br/>
        <w:t xml:space="preserve">Vystoupí Mirjana Petrik (Město přátelské dětem, FA ČVUT), </w:t>
      </w:r>
      <w:r w:rsidRPr="00A5476F">
        <w:rPr>
          <w:rFonts w:cstheme="minorHAnsi"/>
          <w:sz w:val="24"/>
        </w:rPr>
        <w:t xml:space="preserve">Katarina </w:t>
      </w:r>
      <w:proofErr w:type="spellStart"/>
      <w:r w:rsidRPr="00A5476F">
        <w:rPr>
          <w:rFonts w:cstheme="minorHAnsi"/>
          <w:sz w:val="24"/>
        </w:rPr>
        <w:t>Kockova</w:t>
      </w:r>
      <w:proofErr w:type="spellEnd"/>
      <w:r w:rsidRPr="00A5476F">
        <w:rPr>
          <w:rFonts w:cstheme="minorHAnsi"/>
          <w:sz w:val="24"/>
        </w:rPr>
        <w:t xml:space="preserve"> (</w:t>
      </w:r>
      <w:proofErr w:type="spellStart"/>
      <w:r w:rsidRPr="00A5476F">
        <w:rPr>
          <w:rFonts w:eastAsia="Times New Roman" w:cs="Arial"/>
          <w:sz w:val="24"/>
          <w:bdr w:val="none" w:sz="0" w:space="0" w:color="auto" w:frame="1"/>
        </w:rPr>
        <w:t>Metropolitný</w:t>
      </w:r>
      <w:proofErr w:type="spellEnd"/>
      <w:r w:rsidRPr="00A5476F">
        <w:rPr>
          <w:rFonts w:eastAsia="Times New Roman" w:cs="Arial"/>
          <w:sz w:val="24"/>
          <w:bdr w:val="none" w:sz="0" w:space="0" w:color="auto" w:frame="1"/>
        </w:rPr>
        <w:t xml:space="preserve"> </w:t>
      </w:r>
      <w:proofErr w:type="spellStart"/>
      <w:r w:rsidRPr="00A5476F">
        <w:rPr>
          <w:rFonts w:eastAsia="Times New Roman" w:cs="Arial"/>
          <w:sz w:val="24"/>
          <w:bdr w:val="none" w:sz="0" w:space="0" w:color="auto" w:frame="1"/>
        </w:rPr>
        <w:t>inštitut</w:t>
      </w:r>
      <w:proofErr w:type="spellEnd"/>
      <w:r w:rsidRPr="00A5476F">
        <w:rPr>
          <w:rFonts w:eastAsia="Times New Roman" w:cs="Arial"/>
          <w:sz w:val="24"/>
          <w:bdr w:val="none" w:sz="0" w:space="0" w:color="auto" w:frame="1"/>
        </w:rPr>
        <w:t xml:space="preserve"> Bratislavy)</w:t>
      </w:r>
      <w:r w:rsidRPr="00A5476F">
        <w:rPr>
          <w:rFonts w:cstheme="minorHAnsi"/>
          <w:sz w:val="24"/>
        </w:rPr>
        <w:t>, Luděk Šebek (</w:t>
      </w:r>
      <w:r w:rsidRPr="00A5476F">
        <w:rPr>
          <w:rFonts w:eastAsia="Times New Roman" w:cs="Arial"/>
          <w:sz w:val="24"/>
          <w:bdr w:val="none" w:sz="0" w:space="0" w:color="auto" w:frame="1"/>
        </w:rPr>
        <w:t>Fakulta tělesné kultury UP)</w:t>
      </w:r>
      <w:r w:rsidRPr="00A5476F">
        <w:rPr>
          <w:rFonts w:cstheme="minorHAnsi"/>
          <w:sz w:val="24"/>
        </w:rPr>
        <w:t xml:space="preserve">, </w:t>
      </w:r>
      <w:proofErr w:type="spellStart"/>
      <w:r w:rsidRPr="00A5476F">
        <w:rPr>
          <w:rFonts w:eastAsia="Times New Roman" w:cs="Arial"/>
          <w:sz w:val="24"/>
          <w:bdr w:val="none" w:sz="0" w:space="0" w:color="auto" w:frame="1"/>
        </w:rPr>
        <w:t>Amica</w:t>
      </w:r>
      <w:proofErr w:type="spellEnd"/>
      <w:r w:rsidRPr="00A5476F">
        <w:rPr>
          <w:rFonts w:eastAsia="Times New Roman" w:cs="Arial"/>
          <w:sz w:val="24"/>
          <w:bdr w:val="none" w:sz="0" w:space="0" w:color="auto" w:frame="1"/>
        </w:rPr>
        <w:t xml:space="preserve"> </w:t>
      </w:r>
      <w:proofErr w:type="spellStart"/>
      <w:r w:rsidRPr="00A5476F">
        <w:rPr>
          <w:rFonts w:eastAsia="Times New Roman" w:cs="Arial"/>
          <w:sz w:val="24"/>
          <w:bdr w:val="none" w:sz="0" w:space="0" w:color="auto" w:frame="1"/>
        </w:rPr>
        <w:t>Dall</w:t>
      </w:r>
      <w:proofErr w:type="spellEnd"/>
      <w:r w:rsidRPr="00A5476F">
        <w:rPr>
          <w:rFonts w:eastAsia="Times New Roman" w:cs="Arial"/>
          <w:sz w:val="24"/>
          <w:bdr w:val="none" w:sz="0" w:space="0" w:color="auto" w:frame="1"/>
        </w:rPr>
        <w:t xml:space="preserve"> (</w:t>
      </w:r>
      <w:proofErr w:type="spellStart"/>
      <w:r w:rsidRPr="00A5476F">
        <w:rPr>
          <w:rFonts w:eastAsia="Times New Roman" w:cs="Arial"/>
          <w:sz w:val="24"/>
          <w:bdr w:val="none" w:sz="0" w:space="0" w:color="auto" w:frame="1"/>
        </w:rPr>
        <w:t>Assemble</w:t>
      </w:r>
      <w:proofErr w:type="spellEnd"/>
      <w:r w:rsidRPr="00A5476F">
        <w:rPr>
          <w:rFonts w:eastAsia="Times New Roman" w:cs="Arial"/>
          <w:sz w:val="24"/>
          <w:bdr w:val="none" w:sz="0" w:space="0" w:color="auto" w:frame="1"/>
        </w:rPr>
        <w:t xml:space="preserve"> Studio, Velká Británie)</w:t>
      </w:r>
      <w:r w:rsidRPr="00A5476F">
        <w:rPr>
          <w:rFonts w:eastAsia="Times New Roman"/>
          <w:sz w:val="24"/>
        </w:rPr>
        <w:t xml:space="preserve"> </w:t>
      </w:r>
      <w:r w:rsidRPr="00A5476F">
        <w:rPr>
          <w:rFonts w:eastAsia="Times New Roman" w:cstheme="minorHAnsi"/>
          <w:sz w:val="24"/>
        </w:rPr>
        <w:t xml:space="preserve">nebo </w:t>
      </w:r>
      <w:proofErr w:type="spellStart"/>
      <w:r w:rsidRPr="00A5476F">
        <w:rPr>
          <w:rFonts w:eastAsia="Times New Roman" w:cstheme="minorHAnsi"/>
          <w:sz w:val="24"/>
        </w:rPr>
        <w:t>Yannick</w:t>
      </w:r>
      <w:proofErr w:type="spellEnd"/>
      <w:r w:rsidRPr="00A5476F">
        <w:rPr>
          <w:rFonts w:eastAsia="Times New Roman" w:cstheme="minorHAnsi"/>
          <w:sz w:val="24"/>
        </w:rPr>
        <w:t xml:space="preserve"> </w:t>
      </w:r>
      <w:proofErr w:type="spellStart"/>
      <w:r w:rsidRPr="00A5476F">
        <w:rPr>
          <w:rFonts w:eastAsia="Times New Roman" w:cstheme="minorHAnsi"/>
          <w:sz w:val="24"/>
        </w:rPr>
        <w:t>Roels</w:t>
      </w:r>
      <w:proofErr w:type="spellEnd"/>
      <w:r w:rsidRPr="00A5476F">
        <w:rPr>
          <w:rFonts w:eastAsia="Times New Roman" w:cstheme="minorHAnsi"/>
          <w:sz w:val="24"/>
        </w:rPr>
        <w:t xml:space="preserve"> (</w:t>
      </w:r>
      <w:proofErr w:type="spellStart"/>
      <w:r w:rsidRPr="00A5476F">
        <w:rPr>
          <w:rFonts w:eastAsia="Times New Roman" w:cstheme="minorHAnsi"/>
          <w:sz w:val="24"/>
        </w:rPr>
        <w:t>Cultureghem</w:t>
      </w:r>
      <w:proofErr w:type="spellEnd"/>
      <w:r w:rsidRPr="00A5476F">
        <w:rPr>
          <w:rFonts w:eastAsia="Times New Roman" w:cstheme="minorHAnsi"/>
          <w:sz w:val="24"/>
        </w:rPr>
        <w:t>, Belgie).</w:t>
      </w:r>
    </w:p>
    <w:p w14:paraId="262389C9" w14:textId="77777777" w:rsidR="00825678" w:rsidRPr="00825678" w:rsidRDefault="00825678" w:rsidP="00825678">
      <w:pPr>
        <w:rPr>
          <w:rFonts w:cstheme="minorHAnsi"/>
          <w:sz w:val="24"/>
        </w:rPr>
      </w:pPr>
    </w:p>
    <w:p w14:paraId="70E1DCCF" w14:textId="442E6611" w:rsidR="00825678" w:rsidRPr="00825678" w:rsidRDefault="00825678" w:rsidP="00825678">
      <w:pPr>
        <w:rPr>
          <w:rFonts w:cstheme="minorHAnsi"/>
          <w:bCs/>
          <w:sz w:val="24"/>
        </w:rPr>
      </w:pPr>
      <w:r w:rsidRPr="00825678">
        <w:rPr>
          <w:rFonts w:cstheme="minorHAnsi"/>
          <w:bCs/>
          <w:sz w:val="24"/>
        </w:rPr>
        <w:t>Odpolední blok cílí především na odborníky na navrhování</w:t>
      </w:r>
      <w:r w:rsidRPr="00825678">
        <w:rPr>
          <w:rFonts w:cstheme="minorHAnsi"/>
          <w:sz w:val="24"/>
        </w:rPr>
        <w:t>,</w:t>
      </w:r>
      <w:r w:rsidRPr="00825678">
        <w:rPr>
          <w:rFonts w:cstheme="minorHAnsi"/>
          <w:bCs/>
          <w:sz w:val="24"/>
        </w:rPr>
        <w:t xml:space="preserve"> zástupce státní správy i samosprávy, představitele volnočasových aktivit ale na i aktivní rodiče,</w:t>
      </w:r>
      <w:r w:rsidRPr="00825678">
        <w:rPr>
          <w:rFonts w:cstheme="minorHAnsi"/>
          <w:sz w:val="24"/>
        </w:rPr>
        <w:t xml:space="preserve"> které </w:t>
      </w:r>
      <w:r w:rsidRPr="00825678">
        <w:rPr>
          <w:rFonts w:cstheme="minorHAnsi"/>
          <w:bCs/>
          <w:sz w:val="24"/>
        </w:rPr>
        <w:t>koncept dobrodružné hry</w:t>
      </w:r>
      <w:r w:rsidRPr="00825678">
        <w:rPr>
          <w:rFonts w:cstheme="minorHAnsi"/>
          <w:sz w:val="24"/>
        </w:rPr>
        <w:t xml:space="preserve"> zajímá a rádi by se podíleli na podpoře a</w:t>
      </w:r>
      <w:r w:rsidRPr="00825678">
        <w:rPr>
          <w:rFonts w:cstheme="minorHAnsi"/>
          <w:bCs/>
          <w:sz w:val="24"/>
        </w:rPr>
        <w:t xml:space="preserve"> vzniku prvního Adventure playground v ČR. </w:t>
      </w:r>
      <w:r w:rsidRPr="00825678">
        <w:rPr>
          <w:rFonts w:cstheme="minorHAnsi"/>
          <w:sz w:val="24"/>
        </w:rPr>
        <w:br/>
      </w:r>
      <w:r w:rsidRPr="00825678">
        <w:rPr>
          <w:rFonts w:cstheme="minorHAnsi"/>
          <w:sz w:val="24"/>
        </w:rPr>
        <w:br/>
      </w:r>
      <w:r w:rsidRPr="00825678">
        <w:rPr>
          <w:rFonts w:cstheme="minorHAnsi"/>
          <w:bCs/>
          <w:sz w:val="24"/>
        </w:rPr>
        <w:t>V rámci kulatého stolu se představí také další,</w:t>
      </w:r>
      <w:r w:rsidRPr="00825678">
        <w:rPr>
          <w:rFonts w:cstheme="minorHAnsi"/>
          <w:sz w:val="24"/>
        </w:rPr>
        <w:t xml:space="preserve"> u nás méně známé či zcela neznámé koncepty herních dobrodružných prostorů, jakými jsou</w:t>
      </w:r>
      <w:r w:rsidRPr="00825678">
        <w:rPr>
          <w:rFonts w:cstheme="minorHAnsi"/>
          <w:bCs/>
          <w:sz w:val="24"/>
        </w:rPr>
        <w:t xml:space="preserve"> putovní hřiště („</w:t>
      </w:r>
      <w:proofErr w:type="spellStart"/>
      <w:r w:rsidRPr="00825678">
        <w:rPr>
          <w:rFonts w:cstheme="minorHAnsi"/>
          <w:bCs/>
          <w:sz w:val="24"/>
        </w:rPr>
        <w:t>Spielwagen</w:t>
      </w:r>
      <w:proofErr w:type="spellEnd"/>
      <w:r w:rsidRPr="00825678">
        <w:rPr>
          <w:rFonts w:cstheme="minorHAnsi"/>
          <w:bCs/>
          <w:sz w:val="24"/>
        </w:rPr>
        <w:t>“), tvořivé hřiště („</w:t>
      </w:r>
      <w:proofErr w:type="spellStart"/>
      <w:r w:rsidRPr="00825678">
        <w:rPr>
          <w:rFonts w:cstheme="minorHAnsi"/>
          <w:bCs/>
          <w:sz w:val="24"/>
        </w:rPr>
        <w:t>Tvořiště</w:t>
      </w:r>
      <w:proofErr w:type="spellEnd"/>
      <w:r w:rsidRPr="00825678">
        <w:rPr>
          <w:rFonts w:cstheme="minorHAnsi"/>
          <w:bCs/>
          <w:sz w:val="24"/>
        </w:rPr>
        <w:t>“) a</w:t>
      </w:r>
      <w:r w:rsidRPr="00825678">
        <w:rPr>
          <w:rFonts w:ascii="Cambria" w:hAnsi="Cambria" w:cs="Cambria"/>
          <w:bCs/>
          <w:sz w:val="24"/>
        </w:rPr>
        <w:t> </w:t>
      </w:r>
      <w:r w:rsidRPr="00825678">
        <w:rPr>
          <w:rFonts w:cstheme="minorHAnsi"/>
          <w:bCs/>
          <w:sz w:val="24"/>
        </w:rPr>
        <w:t>Instantn</w:t>
      </w:r>
      <w:r w:rsidRPr="00825678">
        <w:rPr>
          <w:rFonts w:cs="Technika"/>
          <w:bCs/>
          <w:sz w:val="24"/>
        </w:rPr>
        <w:t>í</w:t>
      </w:r>
      <w:r w:rsidRPr="00825678">
        <w:rPr>
          <w:rFonts w:cstheme="minorHAnsi"/>
          <w:bCs/>
          <w:sz w:val="24"/>
        </w:rPr>
        <w:t xml:space="preserve"> h</w:t>
      </w:r>
      <w:r w:rsidRPr="00825678">
        <w:rPr>
          <w:rFonts w:cs="Technika"/>
          <w:bCs/>
          <w:sz w:val="24"/>
        </w:rPr>
        <w:t>ř</w:t>
      </w:r>
      <w:r w:rsidRPr="00825678">
        <w:rPr>
          <w:rFonts w:cstheme="minorHAnsi"/>
          <w:bCs/>
          <w:sz w:val="24"/>
        </w:rPr>
        <w:t>i</w:t>
      </w:r>
      <w:r w:rsidRPr="00825678">
        <w:rPr>
          <w:rFonts w:cs="Technika"/>
          <w:bCs/>
          <w:sz w:val="24"/>
        </w:rPr>
        <w:t>š</w:t>
      </w:r>
      <w:r w:rsidRPr="00825678">
        <w:rPr>
          <w:rFonts w:cstheme="minorHAnsi"/>
          <w:bCs/>
          <w:sz w:val="24"/>
        </w:rPr>
        <w:t>t</w:t>
      </w:r>
      <w:r w:rsidRPr="00825678">
        <w:rPr>
          <w:rFonts w:cs="Technika"/>
          <w:bCs/>
          <w:sz w:val="24"/>
        </w:rPr>
        <w:t>ě</w:t>
      </w:r>
      <w:r w:rsidRPr="00825678">
        <w:rPr>
          <w:rFonts w:cstheme="minorHAnsi"/>
          <w:bCs/>
          <w:sz w:val="24"/>
        </w:rPr>
        <w:t xml:space="preserve"> (</w:t>
      </w:r>
      <w:r w:rsidRPr="00825678">
        <w:rPr>
          <w:rFonts w:cs="Technika"/>
          <w:bCs/>
          <w:sz w:val="24"/>
        </w:rPr>
        <w:t>„</w:t>
      </w:r>
      <w:r w:rsidRPr="00825678">
        <w:rPr>
          <w:rFonts w:cstheme="minorHAnsi"/>
          <w:bCs/>
          <w:sz w:val="24"/>
        </w:rPr>
        <w:t>pop-up</w:t>
      </w:r>
      <w:r w:rsidRPr="00825678">
        <w:rPr>
          <w:rFonts w:cs="Technika"/>
          <w:bCs/>
          <w:sz w:val="24"/>
        </w:rPr>
        <w:t>“</w:t>
      </w:r>
      <w:r w:rsidRPr="00825678">
        <w:rPr>
          <w:rFonts w:cstheme="minorHAnsi"/>
          <w:bCs/>
          <w:sz w:val="24"/>
        </w:rPr>
        <w:t xml:space="preserve"> </w:t>
      </w:r>
      <w:proofErr w:type="gramStart"/>
      <w:r w:rsidRPr="00825678">
        <w:rPr>
          <w:rFonts w:cstheme="minorHAnsi"/>
          <w:bCs/>
          <w:sz w:val="24"/>
        </w:rPr>
        <w:t>playground )</w:t>
      </w:r>
      <w:proofErr w:type="gramEnd"/>
      <w:r w:rsidRPr="00825678">
        <w:rPr>
          <w:rFonts w:cstheme="minorHAnsi"/>
          <w:bCs/>
          <w:sz w:val="24"/>
        </w:rPr>
        <w:t xml:space="preserve">. Následné debaty se zúčastní: Carolina Sidon (Muzeum Říčany), Helena </w:t>
      </w:r>
      <w:proofErr w:type="spellStart"/>
      <w:r w:rsidRPr="00825678">
        <w:rPr>
          <w:rFonts w:cstheme="minorHAnsi"/>
          <w:bCs/>
          <w:sz w:val="24"/>
        </w:rPr>
        <w:t>Menezes</w:t>
      </w:r>
      <w:proofErr w:type="spellEnd"/>
      <w:r w:rsidRPr="00825678">
        <w:rPr>
          <w:rFonts w:cstheme="minorHAnsi"/>
          <w:bCs/>
          <w:sz w:val="24"/>
        </w:rPr>
        <w:t xml:space="preserve"> (Risk Vision, Portugalsko),</w:t>
      </w:r>
      <w:r w:rsidRPr="00825678">
        <w:rPr>
          <w:rFonts w:eastAsia="Times New Roman" w:cs="Segoe UI"/>
          <w:bCs/>
          <w:color w:val="0A66C2"/>
          <w:sz w:val="24"/>
          <w:u w:val="single"/>
          <w:shd w:val="clear" w:color="auto" w:fill="FFFFFF"/>
        </w:rPr>
        <w:t xml:space="preserve"> </w:t>
      </w:r>
      <w:r w:rsidRPr="00825678">
        <w:rPr>
          <w:rFonts w:cstheme="minorHAnsi"/>
          <w:bCs/>
          <w:sz w:val="24"/>
        </w:rPr>
        <w:t xml:space="preserve">Justina Danišová (Svobodná hra), Vít </w:t>
      </w:r>
      <w:proofErr w:type="spellStart"/>
      <w:r w:rsidRPr="00825678">
        <w:rPr>
          <w:rFonts w:cstheme="minorHAnsi"/>
          <w:bCs/>
          <w:sz w:val="24"/>
        </w:rPr>
        <w:t>Masare</w:t>
      </w:r>
      <w:proofErr w:type="spellEnd"/>
      <w:r w:rsidRPr="00825678">
        <w:rPr>
          <w:rFonts w:cstheme="minorHAnsi"/>
          <w:bCs/>
          <w:sz w:val="24"/>
        </w:rPr>
        <w:t xml:space="preserve"> (Strana Zelených), Matěj Hájek (</w:t>
      </w:r>
      <w:proofErr w:type="spellStart"/>
      <w:r w:rsidRPr="00825678">
        <w:rPr>
          <w:rFonts w:cstheme="minorHAnsi"/>
          <w:bCs/>
          <w:sz w:val="24"/>
        </w:rPr>
        <w:t>Skull</w:t>
      </w:r>
      <w:proofErr w:type="spellEnd"/>
      <w:r w:rsidRPr="00825678">
        <w:rPr>
          <w:rFonts w:cstheme="minorHAnsi"/>
          <w:bCs/>
          <w:sz w:val="24"/>
        </w:rPr>
        <w:t xml:space="preserve"> studio), Petr Holý (Magistrát hl.</w:t>
      </w:r>
      <w:r w:rsidR="00A5476F">
        <w:rPr>
          <w:rFonts w:cstheme="minorHAnsi"/>
          <w:bCs/>
          <w:sz w:val="24"/>
        </w:rPr>
        <w:t xml:space="preserve"> </w:t>
      </w:r>
      <w:r w:rsidRPr="00825678">
        <w:rPr>
          <w:rFonts w:cstheme="minorHAnsi"/>
          <w:bCs/>
          <w:sz w:val="24"/>
        </w:rPr>
        <w:t>m. Prahy)</w:t>
      </w:r>
      <w:r w:rsidR="00A5476F">
        <w:rPr>
          <w:rFonts w:cstheme="minorHAnsi"/>
          <w:bCs/>
          <w:sz w:val="24"/>
        </w:rPr>
        <w:t xml:space="preserve">, </w:t>
      </w:r>
      <w:r w:rsidRPr="00825678">
        <w:rPr>
          <w:rFonts w:cstheme="minorHAnsi"/>
          <w:bCs/>
          <w:sz w:val="24"/>
        </w:rPr>
        <w:t>Kristina Ullmanová (IPR) a další.</w:t>
      </w:r>
    </w:p>
    <w:p w14:paraId="64D7C8BC" w14:textId="732028F8" w:rsidR="00F2665C" w:rsidRPr="00825678" w:rsidRDefault="00825678" w:rsidP="00825678">
      <w:pPr>
        <w:spacing w:before="100" w:beforeAutospacing="1" w:after="100" w:afterAutospacing="1" w:line="240" w:lineRule="auto"/>
        <w:rPr>
          <w:rFonts w:eastAsia="Times New Roman" w:cstheme="minorHAnsi"/>
          <w:sz w:val="24"/>
          <w:lang w:eastAsia="cs-CZ"/>
        </w:rPr>
      </w:pPr>
      <w:r w:rsidRPr="00825678">
        <w:rPr>
          <w:rFonts w:eastAsia="Times New Roman" w:cstheme="minorHAnsi"/>
          <w:sz w:val="24"/>
          <w:lang w:eastAsia="cs-CZ"/>
        </w:rPr>
        <w:t xml:space="preserve">Více informací o konferenci najdete na webu </w:t>
      </w:r>
      <w:hyperlink r:id="rId11" w:history="1">
        <w:r w:rsidRPr="00825678">
          <w:rPr>
            <w:rStyle w:val="Hypertextovodkaz"/>
            <w:rFonts w:eastAsia="Times New Roman" w:cstheme="minorHAnsi"/>
            <w:sz w:val="24"/>
            <w:lang w:eastAsia="cs-CZ"/>
          </w:rPr>
          <w:t>architekturadetem.cz</w:t>
        </w:r>
      </w:hyperlink>
      <w:r w:rsidRPr="00825678">
        <w:rPr>
          <w:rFonts w:eastAsia="Times New Roman" w:cstheme="minorHAnsi"/>
          <w:sz w:val="24"/>
          <w:lang w:eastAsia="cs-CZ"/>
        </w:rPr>
        <w:t>.</w:t>
      </w:r>
    </w:p>
    <w:p w14:paraId="6F3C6252" w14:textId="77777777" w:rsidR="00825678" w:rsidRDefault="00825678" w:rsidP="008F4E87">
      <w:pPr>
        <w:spacing w:line="240" w:lineRule="auto"/>
        <w:jc w:val="both"/>
        <w:rPr>
          <w:rFonts w:cs="Arial"/>
          <w:b/>
          <w:color w:val="000000"/>
          <w:sz w:val="18"/>
          <w:szCs w:val="20"/>
          <w:u w:color="000000"/>
        </w:rPr>
      </w:pPr>
    </w:p>
    <w:p w14:paraId="3C26A297" w14:textId="77777777" w:rsidR="00825678" w:rsidRDefault="00825678" w:rsidP="008F4E87">
      <w:pPr>
        <w:spacing w:line="240" w:lineRule="auto"/>
        <w:jc w:val="both"/>
        <w:rPr>
          <w:rFonts w:cs="Arial"/>
          <w:b/>
          <w:color w:val="000000"/>
          <w:sz w:val="18"/>
          <w:szCs w:val="20"/>
          <w:u w:color="000000"/>
        </w:rPr>
      </w:pPr>
    </w:p>
    <w:p w14:paraId="6A087B3B" w14:textId="0CD9BDB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>se každoročně umisťují na předních příčkách respektovaných studentských architektonických a designérských soutěží. Více informací najdete na www.fa.cvut.cz.</w:t>
      </w:r>
    </w:p>
    <w:p w14:paraId="20298FB9" w14:textId="77777777" w:rsidR="00825678" w:rsidRDefault="00825678" w:rsidP="00825678">
      <w:pPr>
        <w:pStyle w:val="Normlnweb"/>
        <w:jc w:val="both"/>
        <w:rPr>
          <w:rFonts w:ascii="Technika" w:eastAsiaTheme="minorHAnsi" w:hAnsi="Technika" w:cs="Calibri"/>
          <w:b/>
          <w:bCs/>
          <w:sz w:val="18"/>
          <w:szCs w:val="18"/>
          <w:lang w:bidi="ar-SA"/>
        </w:rPr>
      </w:pPr>
      <w:r>
        <w:rPr>
          <w:rFonts w:ascii="Technika" w:hAnsi="Technika"/>
          <w:b/>
          <w:bCs/>
          <w:sz w:val="18"/>
          <w:szCs w:val="18"/>
        </w:rPr>
        <w:lastRenderedPageBreak/>
        <w:t>České vysoké učení technické v Praze</w:t>
      </w:r>
      <w:r>
        <w:rPr>
          <w:rFonts w:ascii="Technika" w:hAnsi="Technika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sz w:val="18"/>
          <w:szCs w:val="18"/>
        </w:rPr>
        <w:t> </w:t>
      </w:r>
      <w:r>
        <w:rPr>
          <w:rFonts w:ascii="Technika" w:hAnsi="Technika"/>
          <w:sz w:val="18"/>
          <w:szCs w:val="18"/>
        </w:rPr>
        <w:t xml:space="preserve">akademickém roce 2023/2024 má </w:t>
      </w:r>
      <w:r>
        <w:rPr>
          <w:rFonts w:ascii="Technika" w:hAnsi="Technika"/>
          <w:sz w:val="18"/>
          <w:szCs w:val="18"/>
          <w:lang w:eastAsia="en-US"/>
        </w:rPr>
        <w:t>ČVUT v</w:t>
      </w:r>
      <w:r>
        <w:rPr>
          <w:rFonts w:ascii="Cambria" w:hAnsi="Cambria"/>
          <w:sz w:val="18"/>
          <w:szCs w:val="18"/>
          <w:lang w:eastAsia="en-US"/>
        </w:rPr>
        <w:t> </w:t>
      </w:r>
      <w:r>
        <w:rPr>
          <w:rFonts w:ascii="Technika" w:hAnsi="Technika"/>
          <w:sz w:val="18"/>
          <w:szCs w:val="18"/>
          <w:lang w:eastAsia="en-US"/>
        </w:rPr>
        <w:t>Praze akreditováno celkem 502 českých a 352 anglických studijních programů (bakalářských, magisterských a doktorských)</w:t>
      </w:r>
      <w:r>
        <w:rPr>
          <w:rFonts w:ascii="Technika" w:hAnsi="Technika"/>
          <w:sz w:val="18"/>
          <w:szCs w:val="18"/>
        </w:rPr>
        <w:t xml:space="preserve">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: V celosvětovém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 je ČVUT na 454. místě a na 12. pozici v regionálním hodnocení „</w:t>
      </w:r>
      <w:proofErr w:type="spellStart"/>
      <w:r>
        <w:rPr>
          <w:rFonts w:ascii="Technika" w:hAnsi="Technika"/>
          <w:sz w:val="18"/>
          <w:szCs w:val="18"/>
        </w:rPr>
        <w:t>Emerging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Europe</w:t>
      </w:r>
      <w:proofErr w:type="spellEnd"/>
      <w:r>
        <w:rPr>
          <w:rFonts w:ascii="Technika" w:hAnsi="Technika"/>
          <w:sz w:val="18"/>
          <w:szCs w:val="18"/>
        </w:rPr>
        <w:t xml:space="preserve"> and </w:t>
      </w:r>
      <w:proofErr w:type="spellStart"/>
      <w:r>
        <w:rPr>
          <w:rFonts w:ascii="Technika" w:hAnsi="Technika"/>
          <w:sz w:val="18"/>
          <w:szCs w:val="18"/>
        </w:rPr>
        <w:t>Central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Asia</w:t>
      </w:r>
      <w:proofErr w:type="spellEnd"/>
      <w:r>
        <w:rPr>
          <w:rFonts w:ascii="Technika" w:hAnsi="Technika"/>
          <w:sz w:val="18"/>
          <w:szCs w:val="18"/>
        </w:rPr>
        <w:t>“. V rámci hodnocení pro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Civil and </w:t>
      </w:r>
      <w:proofErr w:type="spellStart"/>
      <w:r>
        <w:rPr>
          <w:rFonts w:ascii="Technika" w:hAnsi="Technika"/>
          <w:sz w:val="18"/>
          <w:szCs w:val="18"/>
        </w:rPr>
        <w:t>Structural</w:t>
      </w:r>
      <w:proofErr w:type="spellEnd"/>
      <w:r>
        <w:rPr>
          <w:rFonts w:ascii="Technika" w:hAnsi="Technika"/>
          <w:sz w:val="18"/>
          <w:szCs w:val="18"/>
        </w:rPr>
        <w:t>" je ČVUT mezi 151.–200. místem,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Mechanical</w:t>
      </w:r>
      <w:proofErr w:type="spellEnd"/>
      <w:r>
        <w:rPr>
          <w:rFonts w:ascii="Technika" w:hAnsi="Technika"/>
          <w:sz w:val="18"/>
          <w:szCs w:val="18"/>
        </w:rPr>
        <w:t>“ na 201.–250. místě, u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Electrical</w:t>
      </w:r>
      <w:proofErr w:type="spellEnd"/>
      <w:r>
        <w:rPr>
          <w:rFonts w:ascii="Technika" w:hAnsi="Technika"/>
          <w:sz w:val="18"/>
          <w:szCs w:val="18"/>
        </w:rPr>
        <w:t>“ na 201. až 250. pozici. V oblasti „</w:t>
      </w:r>
      <w:proofErr w:type="spellStart"/>
      <w:r>
        <w:rPr>
          <w:rFonts w:ascii="Technika" w:hAnsi="Technika"/>
          <w:sz w:val="18"/>
          <w:szCs w:val="18"/>
        </w:rPr>
        <w:t>Physics</w:t>
      </w:r>
      <w:proofErr w:type="spellEnd"/>
      <w:r>
        <w:rPr>
          <w:rFonts w:ascii="Technika" w:hAnsi="Technika"/>
          <w:sz w:val="18"/>
          <w:szCs w:val="18"/>
        </w:rPr>
        <w:t xml:space="preserve"> and Astronomy“ na 201. až 250. místě, „Natural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jsou na 280. příčce. V oblasti „</w:t>
      </w:r>
      <w:proofErr w:type="spellStart"/>
      <w:r>
        <w:rPr>
          <w:rFonts w:ascii="Technika" w:hAnsi="Technika"/>
          <w:sz w:val="18"/>
          <w:szCs w:val="18"/>
        </w:rPr>
        <w:t>Computer</w:t>
      </w:r>
      <w:proofErr w:type="spellEnd"/>
      <w:r>
        <w:rPr>
          <w:rFonts w:ascii="Technika" w:hAnsi="Technika"/>
          <w:sz w:val="18"/>
          <w:szCs w:val="18"/>
        </w:rPr>
        <w:t xml:space="preserve"> Science and </w:t>
      </w:r>
      <w:proofErr w:type="spellStart"/>
      <w:r>
        <w:rPr>
          <w:rFonts w:ascii="Technika" w:hAnsi="Technika"/>
          <w:sz w:val="18"/>
          <w:szCs w:val="18"/>
        </w:rPr>
        <w:t>Information</w:t>
      </w:r>
      <w:proofErr w:type="spellEnd"/>
      <w:r>
        <w:rPr>
          <w:rFonts w:ascii="Technika" w:hAnsi="Technika"/>
          <w:sz w:val="18"/>
          <w:szCs w:val="18"/>
        </w:rPr>
        <w:t xml:space="preserve"> Systems" je na 201.–250. místě, v oblasti „</w:t>
      </w:r>
      <w:proofErr w:type="spellStart"/>
      <w:r>
        <w:rPr>
          <w:rFonts w:ascii="Technika" w:hAnsi="Technika"/>
          <w:sz w:val="18"/>
          <w:szCs w:val="18"/>
        </w:rPr>
        <w:t>Material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na 201. až 250. místě, v oblasti „</w:t>
      </w:r>
      <w:proofErr w:type="spellStart"/>
      <w:r>
        <w:rPr>
          <w:rFonts w:ascii="Technika" w:hAnsi="Technika"/>
          <w:sz w:val="18"/>
          <w:szCs w:val="18"/>
        </w:rPr>
        <w:t>Mathematics</w:t>
      </w:r>
      <w:proofErr w:type="spellEnd"/>
      <w:r>
        <w:rPr>
          <w:rFonts w:ascii="Technika" w:hAnsi="Technika"/>
          <w:sz w:val="18"/>
          <w:szCs w:val="18"/>
        </w:rPr>
        <w:t>“ na 251.-300. místě a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and Technology“ je ČVUT na 190. místě. Od roku 2020 je ČVUT členem aliance prestižních technických univerzit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 jsou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Munich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Denmark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Eindhoven,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– L</w:t>
      </w:r>
      <w:r>
        <w:rPr>
          <w:rFonts w:ascii="Cambria" w:hAnsi="Cambria"/>
          <w:sz w:val="18"/>
          <w:szCs w:val="18"/>
        </w:rPr>
        <w:t>´</w:t>
      </w:r>
      <w:r>
        <w:rPr>
          <w:rFonts w:ascii="Technika" w:hAnsi="Technika"/>
          <w:sz w:val="18"/>
          <w:szCs w:val="18"/>
        </w:rPr>
        <w:t xml:space="preserve">X, Tallinn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fédérale</w:t>
      </w:r>
      <w:proofErr w:type="spellEnd"/>
      <w:r>
        <w:rPr>
          <w:rFonts w:ascii="Technika" w:hAnsi="Technika"/>
          <w:sz w:val="18"/>
          <w:szCs w:val="18"/>
        </w:rPr>
        <w:t xml:space="preserve"> de Lausanne a </w:t>
      </w:r>
      <w:proofErr w:type="spellStart"/>
      <w:r>
        <w:rPr>
          <w:rFonts w:ascii="Technika" w:hAnsi="Technika"/>
          <w:sz w:val="18"/>
          <w:szCs w:val="18"/>
        </w:rPr>
        <w:t>Technion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Israel</w:t>
      </w:r>
      <w:proofErr w:type="spellEnd"/>
      <w:r>
        <w:rPr>
          <w:rFonts w:ascii="Technika" w:hAnsi="Technika"/>
          <w:sz w:val="18"/>
          <w:szCs w:val="18"/>
        </w:rPr>
        <w:t xml:space="preserve"> Institute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Technology. Více na </w:t>
      </w:r>
      <w:hyperlink r:id="rId12" w:history="1">
        <w:r>
          <w:rPr>
            <w:rStyle w:val="Hypertextovodkaz"/>
            <w:rFonts w:ascii="Technika" w:hAnsi="Technika"/>
            <w:sz w:val="18"/>
            <w:szCs w:val="18"/>
          </w:rPr>
          <w:t>www.cvut.cz</w:t>
        </w:r>
      </w:hyperlink>
      <w:r>
        <w:rPr>
          <w:rFonts w:ascii="Technika" w:hAnsi="Technika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 </w:t>
      </w:r>
      <w:r>
        <w:rPr>
          <w:rFonts w:ascii="Technika" w:hAnsi="Technika"/>
          <w:sz w:val="18"/>
          <w:szCs w:val="18"/>
        </w:rPr>
        <w:t xml:space="preserve"> </w:t>
      </w:r>
    </w:p>
    <w:p w14:paraId="3FA66FFA" w14:textId="3FB54E5B" w:rsidR="004D222A" w:rsidRPr="008F4E87" w:rsidRDefault="004D222A" w:rsidP="00DE1B79">
      <w:pPr>
        <w:spacing w:line="240" w:lineRule="auto"/>
        <w:jc w:val="both"/>
      </w:pPr>
    </w:p>
    <w:sectPr w:rsidR="004D222A" w:rsidRPr="008F4E87" w:rsidSect="00017E3B">
      <w:headerReference w:type="default" r:id="rId13"/>
      <w:headerReference w:type="first" r:id="rId14"/>
      <w:footerReference w:type="first" r:id="rId15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F75E4C3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1755CA1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EC2B9A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6B5DEB" w:rsidRDefault="00E74845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EC2B9A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6B5DEB" w:rsidRDefault="00E74845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D3D00"/>
    <w:rsid w:val="000E25B4"/>
    <w:rsid w:val="002C1EE7"/>
    <w:rsid w:val="002F64B1"/>
    <w:rsid w:val="0045347D"/>
    <w:rsid w:val="004857AE"/>
    <w:rsid w:val="00497F79"/>
    <w:rsid w:val="004D222A"/>
    <w:rsid w:val="005E14BF"/>
    <w:rsid w:val="00621D77"/>
    <w:rsid w:val="00713585"/>
    <w:rsid w:val="00725AA1"/>
    <w:rsid w:val="00786352"/>
    <w:rsid w:val="00820875"/>
    <w:rsid w:val="00825678"/>
    <w:rsid w:val="008F4E87"/>
    <w:rsid w:val="00951E1A"/>
    <w:rsid w:val="0095369B"/>
    <w:rsid w:val="009B313A"/>
    <w:rsid w:val="00A00F3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C2B9A"/>
    <w:rsid w:val="00ED3DDF"/>
    <w:rsid w:val="00F2665C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chitekturadetem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7" ma:contentTypeDescription="Vytvoří nový dokument" ma:contentTypeScope="" ma:versionID="36d69913fc3f9e7db334d45babcd2941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57ccb5550fb08a95412d66234868a460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D5B48-47E9-4236-8795-2B46ACF577BA}">
  <ds:schemaRefs>
    <ds:schemaRef ds:uri="http://schemas.microsoft.com/office/2006/metadata/properties"/>
    <ds:schemaRef ds:uri="c2bd90fa-4ccc-49f7-b47e-5d2def31dd2d"/>
    <ds:schemaRef ds:uri="http://purl.org/dc/terms/"/>
    <ds:schemaRef ds:uri="http://purl.org/dc/dcmitype/"/>
    <ds:schemaRef ds:uri="http://www.w3.org/XML/1998/namespace"/>
    <ds:schemaRef ds:uri="b149a91f-40a1-409f-9457-605c3b11754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8574AD-8EF5-4288-879A-8A8F3C03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905</Words>
  <Characters>5417</Characters>
  <Application>Microsoft Office Word</Application>
  <DocSecurity>0</DocSecurity>
  <Lines>104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8</cp:revision>
  <dcterms:created xsi:type="dcterms:W3CDTF">2023-10-25T12:15:00Z</dcterms:created>
  <dcterms:modified xsi:type="dcterms:W3CDTF">2023-11-06T14:53:00Z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