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4A782EDC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62368E">
        <w:rPr>
          <w:color w:val="000000" w:themeColor="text1"/>
          <w:sz w:val="19"/>
          <w:szCs w:val="19"/>
          <w:lang w:val="cs-CZ"/>
        </w:rPr>
        <w:t xml:space="preserve">V Praze </w:t>
      </w:r>
      <w:r w:rsidR="00370FF7">
        <w:rPr>
          <w:color w:val="000000" w:themeColor="text1"/>
          <w:sz w:val="19"/>
          <w:szCs w:val="19"/>
          <w:lang w:val="cs-CZ"/>
        </w:rPr>
        <w:t>13</w:t>
      </w:r>
      <w:r w:rsidRPr="0062368E">
        <w:rPr>
          <w:color w:val="000000" w:themeColor="text1"/>
          <w:sz w:val="19"/>
          <w:szCs w:val="19"/>
          <w:lang w:val="cs-CZ"/>
        </w:rPr>
        <w:t xml:space="preserve">. </w:t>
      </w:r>
      <w:r w:rsidR="00370FF7">
        <w:rPr>
          <w:color w:val="000000" w:themeColor="text1"/>
          <w:sz w:val="19"/>
          <w:szCs w:val="19"/>
          <w:lang w:val="cs-CZ"/>
        </w:rPr>
        <w:t>6</w:t>
      </w:r>
      <w:r w:rsidRPr="0062368E">
        <w:rPr>
          <w:color w:val="000000" w:themeColor="text1"/>
          <w:sz w:val="19"/>
          <w:szCs w:val="19"/>
          <w:lang w:val="cs-CZ"/>
        </w:rPr>
        <w:t>. 202</w:t>
      </w:r>
      <w:r w:rsidR="000A2137" w:rsidRPr="0062368E">
        <w:rPr>
          <w:color w:val="000000" w:themeColor="text1"/>
          <w:sz w:val="19"/>
          <w:szCs w:val="19"/>
          <w:lang w:val="cs-CZ"/>
        </w:rPr>
        <w:t>4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370FF7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4800B11E" w:rsidR="008F4E87" w:rsidRDefault="008F4E87" w:rsidP="008F4E87">
      <w:pPr>
        <w:pStyle w:val="Zahlavi"/>
        <w:jc w:val="both"/>
      </w:pPr>
      <w:r>
        <w:t>778 750</w:t>
      </w:r>
      <w:r w:rsidR="00812652">
        <w:rPr>
          <w:rFonts w:ascii="Cambria" w:hAnsi="Cambria" w:cs="Cambria"/>
        </w:rPr>
        <w:t> </w:t>
      </w:r>
      <w:r>
        <w:t>052</w:t>
      </w:r>
    </w:p>
    <w:p w14:paraId="3136B648" w14:textId="5D979746" w:rsidR="008F4E87" w:rsidRDefault="008F4E87" w:rsidP="008F4E87">
      <w:pPr>
        <w:jc w:val="both"/>
        <w:rPr>
          <w:sz w:val="24"/>
        </w:rPr>
      </w:pPr>
    </w:p>
    <w:p w14:paraId="1B934E4B" w14:textId="77777777" w:rsidR="00812652" w:rsidRDefault="00812652" w:rsidP="008F4E87">
      <w:pPr>
        <w:jc w:val="both"/>
        <w:rPr>
          <w:sz w:val="24"/>
        </w:rPr>
      </w:pPr>
    </w:p>
    <w:p w14:paraId="6918D52B" w14:textId="04AC4C51" w:rsidR="00370FF7" w:rsidRDefault="00370FF7" w:rsidP="00370FF7">
      <w:pPr>
        <w:rPr>
          <w:sz w:val="24"/>
        </w:rPr>
      </w:pPr>
      <w:r w:rsidRPr="00370FF7">
        <w:rPr>
          <w:b/>
          <w:sz w:val="28"/>
          <w:szCs w:val="28"/>
        </w:rPr>
        <w:t xml:space="preserve">Pilotní kurz ČVUT zaměřený na </w:t>
      </w:r>
      <w:proofErr w:type="spellStart"/>
      <w:r w:rsidRPr="00370FF7">
        <w:rPr>
          <w:b/>
          <w:sz w:val="28"/>
          <w:szCs w:val="28"/>
        </w:rPr>
        <w:t>development</w:t>
      </w:r>
      <w:proofErr w:type="spellEnd"/>
      <w:r w:rsidRPr="00370FF7">
        <w:rPr>
          <w:b/>
          <w:sz w:val="28"/>
          <w:szCs w:val="28"/>
        </w:rPr>
        <w:t xml:space="preserve"> udělil první certifikáty</w:t>
      </w:r>
      <w:r w:rsidR="0005338B">
        <w:br/>
      </w:r>
      <w:r w:rsidR="0005338B">
        <w:br/>
      </w:r>
      <w:bookmarkStart w:id="0" w:name="_Hlk148954575"/>
      <w:r w:rsidRPr="00370FF7">
        <w:rPr>
          <w:b/>
          <w:sz w:val="24"/>
        </w:rPr>
        <w:t xml:space="preserve">Kurz celoživotního vzdělávání </w:t>
      </w:r>
      <w:proofErr w:type="spellStart"/>
      <w:r w:rsidRPr="00370FF7">
        <w:rPr>
          <w:b/>
          <w:sz w:val="24"/>
        </w:rPr>
        <w:t>Development</w:t>
      </w:r>
      <w:proofErr w:type="spellEnd"/>
      <w:r w:rsidRPr="00370FF7">
        <w:rPr>
          <w:b/>
          <w:sz w:val="24"/>
        </w:rPr>
        <w:t xml:space="preserve"> nemovitostí – lokalita propojuje různé oblasti nemovitostního trhu. Účastníci se učí využívat získané dovednosti ve prospěch města i soukromých společností. Aplikovat je mohou při přípravě vlastních investičních akcí i při jednání s partnery. Výuku zajišťovala Fakulta architektury ČVUT ve spolupráci s Masarykovým ústavem vyšších studií.</w:t>
      </w:r>
      <w:r w:rsidR="0005338B">
        <w:br/>
      </w:r>
      <w:r w:rsidR="0005338B">
        <w:br/>
      </w:r>
      <w:r w:rsidRPr="00370FF7">
        <w:rPr>
          <w:sz w:val="24"/>
        </w:rPr>
        <w:t xml:space="preserve">V letním semestru se kurz zabýval rozvojem 200 hektarového pozemku v pražských Letňanech. K nalezení vhodných řešení přispěly přednášky a konzultace, které pokrývaly různé aspekty </w:t>
      </w:r>
      <w:proofErr w:type="spellStart"/>
      <w:r w:rsidRPr="00370FF7">
        <w:rPr>
          <w:sz w:val="24"/>
        </w:rPr>
        <w:t>developmentu</w:t>
      </w:r>
      <w:proofErr w:type="spellEnd"/>
      <w:r w:rsidRPr="00370FF7">
        <w:rPr>
          <w:sz w:val="24"/>
        </w:rPr>
        <w:t xml:space="preserve"> – od strategie a územního plánování přes metody participace, PR a </w:t>
      </w:r>
      <w:proofErr w:type="spellStart"/>
      <w:r w:rsidRPr="00370FF7">
        <w:rPr>
          <w:sz w:val="24"/>
        </w:rPr>
        <w:t>branding</w:t>
      </w:r>
      <w:proofErr w:type="spellEnd"/>
      <w:r w:rsidRPr="00370FF7">
        <w:rPr>
          <w:sz w:val="24"/>
        </w:rPr>
        <w:t xml:space="preserve">, infrastrukturu, rozpočtování a daňovou optimalizaci po udržitelnost a management rizik. </w:t>
      </w:r>
    </w:p>
    <w:p w14:paraId="60F87B11" w14:textId="77777777" w:rsidR="00370FF7" w:rsidRPr="00370FF7" w:rsidRDefault="00370FF7" w:rsidP="00370FF7">
      <w:pPr>
        <w:rPr>
          <w:sz w:val="24"/>
        </w:rPr>
      </w:pPr>
    </w:p>
    <w:p w14:paraId="78B6C6FB" w14:textId="0C40C183" w:rsidR="00370FF7" w:rsidRDefault="00370FF7" w:rsidP="00370FF7">
      <w:pPr>
        <w:rPr>
          <w:sz w:val="24"/>
        </w:rPr>
      </w:pPr>
      <w:r w:rsidRPr="00370FF7">
        <w:rPr>
          <w:sz w:val="24"/>
        </w:rPr>
        <w:t xml:space="preserve">Mezi účastníky a účastnicemi byli zástupci Ministerstva pro místní rozvoj a Státního fondu na podporu investic, odborníci na plánování městského rozvoje, </w:t>
      </w:r>
      <w:proofErr w:type="spellStart"/>
      <w:r w:rsidRPr="00370FF7">
        <w:rPr>
          <w:sz w:val="24"/>
        </w:rPr>
        <w:t>development</w:t>
      </w:r>
      <w:proofErr w:type="spellEnd"/>
      <w:r w:rsidRPr="00370FF7">
        <w:rPr>
          <w:sz w:val="24"/>
        </w:rPr>
        <w:t xml:space="preserve"> a realitní trh, majitelé pozemků i studující doktorského studia. Práce v multioborových týmech přinesla různé pohledy na řešené území.</w:t>
      </w:r>
    </w:p>
    <w:p w14:paraId="2B4C75AA" w14:textId="77777777" w:rsidR="00370FF7" w:rsidRPr="00370FF7" w:rsidRDefault="00370FF7" w:rsidP="00370FF7">
      <w:pPr>
        <w:rPr>
          <w:sz w:val="24"/>
        </w:rPr>
      </w:pPr>
    </w:p>
    <w:p w14:paraId="16FC8EC3" w14:textId="42FE6FC6" w:rsidR="00370FF7" w:rsidRDefault="00370FF7" w:rsidP="00370FF7">
      <w:pPr>
        <w:rPr>
          <w:sz w:val="24"/>
        </w:rPr>
      </w:pPr>
      <w:r w:rsidRPr="00370FF7">
        <w:rPr>
          <w:sz w:val="24"/>
        </w:rPr>
        <w:t xml:space="preserve"> „</w:t>
      </w:r>
      <w:r w:rsidRPr="00370FF7">
        <w:rPr>
          <w:i/>
          <w:sz w:val="24"/>
        </w:rPr>
        <w:t>Svým zaměřením a koncepcí přispěl kurz k lepšímu vzájemnému pochopení motivací a cílů veřejného a soukromého sektoru a podpořil schopnost tyto světy propojovat ve prospěch kvality prostředí, jeho hodnoty společenské ale i finanční,</w:t>
      </w:r>
      <w:r w:rsidRPr="00370FF7">
        <w:rPr>
          <w:sz w:val="24"/>
        </w:rPr>
        <w:t xml:space="preserve">“ říká </w:t>
      </w:r>
      <w:hyperlink r:id="rId11" w:history="1">
        <w:r w:rsidRPr="00370FF7">
          <w:rPr>
            <w:rStyle w:val="Hypertextovodkaz"/>
            <w:sz w:val="24"/>
          </w:rPr>
          <w:t>Michal Kohout</w:t>
        </w:r>
      </w:hyperlink>
      <w:r w:rsidRPr="00370FF7">
        <w:rPr>
          <w:sz w:val="24"/>
        </w:rPr>
        <w:t xml:space="preserve"> z </w:t>
      </w:r>
      <w:hyperlink r:id="rId12" w:history="1">
        <w:r w:rsidRPr="00370FF7">
          <w:rPr>
            <w:rStyle w:val="Hypertextovodkaz"/>
            <w:sz w:val="24"/>
          </w:rPr>
          <w:t>Ústavu nauky o budovách FA ČVUT</w:t>
        </w:r>
      </w:hyperlink>
      <w:bookmarkStart w:id="1" w:name="_GoBack"/>
      <w:bookmarkEnd w:id="1"/>
      <w:r w:rsidRPr="00370FF7">
        <w:rPr>
          <w:sz w:val="24"/>
        </w:rPr>
        <w:t>.</w:t>
      </w:r>
    </w:p>
    <w:p w14:paraId="61F383F9" w14:textId="77777777" w:rsidR="00370FF7" w:rsidRPr="00370FF7" w:rsidRDefault="00370FF7" w:rsidP="00370FF7">
      <w:pPr>
        <w:rPr>
          <w:sz w:val="24"/>
        </w:rPr>
      </w:pPr>
    </w:p>
    <w:p w14:paraId="71FD80D0" w14:textId="561AC7AA" w:rsidR="00370FF7" w:rsidRDefault="00370FF7" w:rsidP="00370FF7">
      <w:pPr>
        <w:rPr>
          <w:sz w:val="24"/>
        </w:rPr>
      </w:pPr>
      <w:r w:rsidRPr="00370FF7">
        <w:rPr>
          <w:sz w:val="24"/>
        </w:rPr>
        <w:t xml:space="preserve">Výuku vedli odborníci a odbornice z oblasti </w:t>
      </w:r>
      <w:proofErr w:type="spellStart"/>
      <w:r w:rsidRPr="00370FF7">
        <w:rPr>
          <w:sz w:val="24"/>
        </w:rPr>
        <w:t>developmentu</w:t>
      </w:r>
      <w:proofErr w:type="spellEnd"/>
      <w:r w:rsidRPr="00370FF7">
        <w:rPr>
          <w:sz w:val="24"/>
        </w:rPr>
        <w:t xml:space="preserve"> a realitního trhu, jako například Petr Urbánek, ředitel Pražské developerské </w:t>
      </w:r>
      <w:r w:rsidRPr="00370FF7">
        <w:rPr>
          <w:sz w:val="24"/>
        </w:rPr>
        <w:lastRenderedPageBreak/>
        <w:t xml:space="preserve">společnosti, Jiří </w:t>
      </w:r>
      <w:proofErr w:type="spellStart"/>
      <w:r w:rsidRPr="00370FF7">
        <w:rPr>
          <w:sz w:val="24"/>
        </w:rPr>
        <w:t>Čtyroký</w:t>
      </w:r>
      <w:proofErr w:type="spellEnd"/>
      <w:r w:rsidRPr="00370FF7">
        <w:rPr>
          <w:sz w:val="24"/>
        </w:rPr>
        <w:t xml:space="preserve"> z IPR Praha, Ondřej Vala z OM </w:t>
      </w:r>
      <w:proofErr w:type="spellStart"/>
      <w:r w:rsidRPr="00370FF7">
        <w:rPr>
          <w:sz w:val="24"/>
        </w:rPr>
        <w:t>Consulting</w:t>
      </w:r>
      <w:proofErr w:type="spellEnd"/>
      <w:r w:rsidRPr="00370FF7">
        <w:rPr>
          <w:sz w:val="24"/>
        </w:rPr>
        <w:t xml:space="preserve"> a Tereza Gebauer z </w:t>
      </w:r>
      <w:proofErr w:type="spellStart"/>
      <w:r w:rsidRPr="00370FF7">
        <w:rPr>
          <w:sz w:val="24"/>
        </w:rPr>
        <w:t>Deloitte</w:t>
      </w:r>
      <w:proofErr w:type="spellEnd"/>
      <w:r w:rsidRPr="00370FF7">
        <w:rPr>
          <w:sz w:val="24"/>
        </w:rPr>
        <w:t>. Kurz měl záštitu náměstka primátora hlavního města Prahy Petra Hlaváčka, spolupracovala na něm Pražská developerská společnost a Asociace developerů byla odborným partnerem.</w:t>
      </w:r>
    </w:p>
    <w:p w14:paraId="5C6AA749" w14:textId="77777777" w:rsidR="00370FF7" w:rsidRPr="00370FF7" w:rsidRDefault="00370FF7" w:rsidP="00370FF7">
      <w:pPr>
        <w:rPr>
          <w:sz w:val="24"/>
        </w:rPr>
      </w:pPr>
    </w:p>
    <w:p w14:paraId="2543B1B0" w14:textId="02A09642" w:rsidR="00370FF7" w:rsidRDefault="00370FF7" w:rsidP="00370FF7">
      <w:pPr>
        <w:rPr>
          <w:sz w:val="24"/>
        </w:rPr>
      </w:pPr>
      <w:r w:rsidRPr="00370FF7">
        <w:rPr>
          <w:sz w:val="24"/>
        </w:rPr>
        <w:t xml:space="preserve">Cílem kurzu </w:t>
      </w:r>
      <w:proofErr w:type="spellStart"/>
      <w:r w:rsidRPr="00370FF7">
        <w:rPr>
          <w:sz w:val="24"/>
        </w:rPr>
        <w:t>Development</w:t>
      </w:r>
      <w:proofErr w:type="spellEnd"/>
      <w:r w:rsidRPr="00370FF7">
        <w:rPr>
          <w:sz w:val="24"/>
        </w:rPr>
        <w:t xml:space="preserve"> nemovitostí – lokalita je naučit posluchače, jak optimalizovat rozvoj větších území s ohledem na zájmy aktérů, rozdílné plánované funkce, finanční zájmy a efektivní spolupráci mezi soukromým a veřejným sektorem. Zorientují se v problematice rozvoje nemovitostí a území, porozumí kontextu místa a projektu z územního, sociálně-kulturního, ekonomického i environmentálního hlediska. Díky mezioborovému zaměření se absolventi uplatní v široké škále pracovních pozic.</w:t>
      </w:r>
    </w:p>
    <w:p w14:paraId="65B10351" w14:textId="77777777" w:rsidR="00370FF7" w:rsidRPr="00370FF7" w:rsidRDefault="00370FF7" w:rsidP="00370FF7">
      <w:pPr>
        <w:rPr>
          <w:sz w:val="24"/>
        </w:rPr>
      </w:pPr>
    </w:p>
    <w:p w14:paraId="310465CF" w14:textId="52D9341C" w:rsidR="00370FF7" w:rsidRDefault="00370FF7" w:rsidP="00370FF7">
      <w:pPr>
        <w:rPr>
          <w:sz w:val="24"/>
        </w:rPr>
      </w:pPr>
      <w:r w:rsidRPr="00370FF7">
        <w:rPr>
          <w:sz w:val="24"/>
        </w:rPr>
        <w:t xml:space="preserve">V akademickém roce 2024/2025 se otevírají dva kurzy. </w:t>
      </w:r>
      <w:proofErr w:type="spellStart"/>
      <w:r w:rsidRPr="00370FF7">
        <w:rPr>
          <w:sz w:val="24"/>
        </w:rPr>
        <w:t>Development</w:t>
      </w:r>
      <w:proofErr w:type="spellEnd"/>
      <w:r w:rsidRPr="00370FF7">
        <w:rPr>
          <w:sz w:val="24"/>
        </w:rPr>
        <w:t xml:space="preserve"> nemovitostí – budova, se zaměří na plánování a realizaci rozvoje a údržby jednoho středně velkého objektu například obytné budovy. Výuka v pěti dvoudenních blocích (pátek–sobota) se bude konat od října 2024 do ledna 2025. Od února do května 2025 bude ve stejném režimu probíhat druhý ročník kurzu </w:t>
      </w:r>
      <w:proofErr w:type="spellStart"/>
      <w:r w:rsidRPr="00370FF7">
        <w:rPr>
          <w:sz w:val="24"/>
        </w:rPr>
        <w:t>Development</w:t>
      </w:r>
      <w:proofErr w:type="spellEnd"/>
      <w:r w:rsidRPr="00370FF7">
        <w:rPr>
          <w:sz w:val="24"/>
        </w:rPr>
        <w:t xml:space="preserve"> nemovitostí – lokalita. </w:t>
      </w:r>
    </w:p>
    <w:p w14:paraId="71B10669" w14:textId="77777777" w:rsidR="00370FF7" w:rsidRPr="00370FF7" w:rsidRDefault="00370FF7" w:rsidP="00370FF7">
      <w:pPr>
        <w:rPr>
          <w:sz w:val="24"/>
        </w:rPr>
      </w:pPr>
    </w:p>
    <w:p w14:paraId="79FE6635" w14:textId="7A266FD9" w:rsidR="00825678" w:rsidRPr="0005338B" w:rsidRDefault="00370FF7" w:rsidP="00370FF7">
      <w:pPr>
        <w:rPr>
          <w:rFonts w:eastAsia="Technika" w:cs="Technika"/>
          <w:b/>
          <w:bCs/>
          <w:sz w:val="24"/>
        </w:rPr>
      </w:pPr>
      <w:r w:rsidRPr="00370FF7">
        <w:rPr>
          <w:sz w:val="24"/>
        </w:rPr>
        <w:t xml:space="preserve">Podrobné informace naleznete na stránkách kurzů celoživotního vzdělávání </w:t>
      </w:r>
      <w:hyperlink r:id="rId13" w:history="1">
        <w:proofErr w:type="spellStart"/>
        <w:r w:rsidRPr="00370FF7">
          <w:rPr>
            <w:rStyle w:val="Hypertextovodkaz"/>
            <w:sz w:val="24"/>
          </w:rPr>
          <w:t>Development</w:t>
        </w:r>
        <w:proofErr w:type="spellEnd"/>
        <w:r w:rsidRPr="00370FF7">
          <w:rPr>
            <w:rStyle w:val="Hypertextovodkaz"/>
            <w:sz w:val="24"/>
          </w:rPr>
          <w:t xml:space="preserve"> nemovitostí</w:t>
        </w:r>
      </w:hyperlink>
      <w:r w:rsidRPr="00370FF7">
        <w:rPr>
          <w:sz w:val="24"/>
        </w:rPr>
        <w:t>.</w:t>
      </w:r>
    </w:p>
    <w:bookmarkEnd w:id="0"/>
    <w:p w14:paraId="324794F2" w14:textId="4E747033" w:rsidR="00825678" w:rsidRPr="0005338B" w:rsidRDefault="00825678" w:rsidP="0062368E">
      <w:pPr>
        <w:rPr>
          <w:rFonts w:cstheme="minorBidi"/>
          <w:b/>
          <w:bCs/>
          <w:sz w:val="24"/>
        </w:rPr>
      </w:pPr>
    </w:p>
    <w:p w14:paraId="6A087B3B" w14:textId="0CD9BDB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>se každoročně umisťují na předních příčkách respektovaných studentských architektonických a designérských soutěží. Více informací najdete na www.fa.cvut.cz.</w:t>
      </w:r>
    </w:p>
    <w:p w14:paraId="3FA66FFA" w14:textId="1C167C5D" w:rsidR="004D222A" w:rsidRPr="001B421C" w:rsidRDefault="00825678" w:rsidP="001B421C">
      <w:pPr>
        <w:pStyle w:val="Normlnweb"/>
        <w:jc w:val="both"/>
        <w:rPr>
          <w:rFonts w:ascii="Technika" w:eastAsiaTheme="minorHAnsi" w:hAnsi="Technika" w:cs="Calibri"/>
          <w:b/>
          <w:bCs/>
          <w:sz w:val="18"/>
          <w:szCs w:val="18"/>
          <w:lang w:bidi="ar-SA"/>
        </w:rPr>
      </w:pPr>
      <w:r>
        <w:rPr>
          <w:rFonts w:ascii="Technika" w:hAnsi="Technika"/>
          <w:b/>
          <w:bCs/>
          <w:sz w:val="18"/>
          <w:szCs w:val="18"/>
        </w:rPr>
        <w:t>České vysoké učení technické v Praze</w:t>
      </w:r>
      <w:r>
        <w:rPr>
          <w:rFonts w:ascii="Technika" w:hAnsi="Technika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sz w:val="18"/>
          <w:szCs w:val="18"/>
        </w:rPr>
        <w:t> </w:t>
      </w:r>
      <w:r>
        <w:rPr>
          <w:rFonts w:ascii="Technika" w:hAnsi="Technika"/>
          <w:sz w:val="18"/>
          <w:szCs w:val="18"/>
        </w:rPr>
        <w:t xml:space="preserve">akademickém roce 2023/2024 má </w:t>
      </w:r>
      <w:r>
        <w:rPr>
          <w:rFonts w:ascii="Technika" w:hAnsi="Technika"/>
          <w:sz w:val="18"/>
          <w:szCs w:val="18"/>
          <w:lang w:eastAsia="en-US"/>
        </w:rPr>
        <w:t>ČVUT v</w:t>
      </w:r>
      <w:r>
        <w:rPr>
          <w:rFonts w:ascii="Cambria" w:hAnsi="Cambria"/>
          <w:sz w:val="18"/>
          <w:szCs w:val="18"/>
          <w:lang w:eastAsia="en-US"/>
        </w:rPr>
        <w:t> </w:t>
      </w:r>
      <w:r>
        <w:rPr>
          <w:rFonts w:ascii="Technika" w:hAnsi="Technika"/>
          <w:sz w:val="18"/>
          <w:szCs w:val="18"/>
          <w:lang w:eastAsia="en-US"/>
        </w:rPr>
        <w:t>Praze akreditováno celkem 502 českých a 352 anglických studijních programů (bakalářských, magisterských a doktorských)</w:t>
      </w:r>
      <w:r>
        <w:rPr>
          <w:rFonts w:ascii="Technika" w:hAnsi="Technika"/>
          <w:sz w:val="18"/>
          <w:szCs w:val="18"/>
        </w:rPr>
        <w:t xml:space="preserve">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: V celosvětovém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 je ČVUT na 454. místě a na 12. pozici v regionálním hodnocení „</w:t>
      </w:r>
      <w:proofErr w:type="spellStart"/>
      <w:r>
        <w:rPr>
          <w:rFonts w:ascii="Technika" w:hAnsi="Technika"/>
          <w:sz w:val="18"/>
          <w:szCs w:val="18"/>
        </w:rPr>
        <w:t>Emerging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Europe</w:t>
      </w:r>
      <w:proofErr w:type="spellEnd"/>
      <w:r>
        <w:rPr>
          <w:rFonts w:ascii="Technika" w:hAnsi="Technika"/>
          <w:sz w:val="18"/>
          <w:szCs w:val="18"/>
        </w:rPr>
        <w:t xml:space="preserve"> and </w:t>
      </w:r>
      <w:proofErr w:type="spellStart"/>
      <w:r>
        <w:rPr>
          <w:rFonts w:ascii="Technika" w:hAnsi="Technika"/>
          <w:sz w:val="18"/>
          <w:szCs w:val="18"/>
        </w:rPr>
        <w:t>Central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Asia</w:t>
      </w:r>
      <w:proofErr w:type="spellEnd"/>
      <w:r>
        <w:rPr>
          <w:rFonts w:ascii="Technika" w:hAnsi="Technika"/>
          <w:sz w:val="18"/>
          <w:szCs w:val="18"/>
        </w:rPr>
        <w:t>“. V rámci hodnocení pro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r>
        <w:rPr>
          <w:rFonts w:ascii="Technika" w:hAnsi="Technika"/>
          <w:sz w:val="18"/>
          <w:szCs w:val="18"/>
        </w:rPr>
        <w:lastRenderedPageBreak/>
        <w:t xml:space="preserve">– Civil and </w:t>
      </w:r>
      <w:proofErr w:type="spellStart"/>
      <w:r>
        <w:rPr>
          <w:rFonts w:ascii="Technika" w:hAnsi="Technika"/>
          <w:sz w:val="18"/>
          <w:szCs w:val="18"/>
        </w:rPr>
        <w:t>Structural</w:t>
      </w:r>
      <w:proofErr w:type="spellEnd"/>
      <w:r>
        <w:rPr>
          <w:rFonts w:ascii="Technika" w:hAnsi="Technika"/>
          <w:sz w:val="18"/>
          <w:szCs w:val="18"/>
        </w:rPr>
        <w:t>" je ČVUT mezi 151.–200. místem,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Mechanical</w:t>
      </w:r>
      <w:proofErr w:type="spellEnd"/>
      <w:r>
        <w:rPr>
          <w:rFonts w:ascii="Technika" w:hAnsi="Technika"/>
          <w:sz w:val="18"/>
          <w:szCs w:val="18"/>
        </w:rPr>
        <w:t>“ na 201.–250. místě, u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Electrical</w:t>
      </w:r>
      <w:proofErr w:type="spellEnd"/>
      <w:r>
        <w:rPr>
          <w:rFonts w:ascii="Technika" w:hAnsi="Technika"/>
          <w:sz w:val="18"/>
          <w:szCs w:val="18"/>
        </w:rPr>
        <w:t>“ na 201. až 250. pozici. V oblasti „</w:t>
      </w:r>
      <w:proofErr w:type="spellStart"/>
      <w:r>
        <w:rPr>
          <w:rFonts w:ascii="Technika" w:hAnsi="Technika"/>
          <w:sz w:val="18"/>
          <w:szCs w:val="18"/>
        </w:rPr>
        <w:t>Physics</w:t>
      </w:r>
      <w:proofErr w:type="spellEnd"/>
      <w:r>
        <w:rPr>
          <w:rFonts w:ascii="Technika" w:hAnsi="Technika"/>
          <w:sz w:val="18"/>
          <w:szCs w:val="18"/>
        </w:rPr>
        <w:t xml:space="preserve"> and Astronomy“ na 201. až 250. místě, „Natural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jsou na 280. příčce. V oblasti „</w:t>
      </w:r>
      <w:proofErr w:type="spellStart"/>
      <w:r>
        <w:rPr>
          <w:rFonts w:ascii="Technika" w:hAnsi="Technika"/>
          <w:sz w:val="18"/>
          <w:szCs w:val="18"/>
        </w:rPr>
        <w:t>Computer</w:t>
      </w:r>
      <w:proofErr w:type="spellEnd"/>
      <w:r>
        <w:rPr>
          <w:rFonts w:ascii="Technika" w:hAnsi="Technika"/>
          <w:sz w:val="18"/>
          <w:szCs w:val="18"/>
        </w:rPr>
        <w:t xml:space="preserve"> Science and </w:t>
      </w:r>
      <w:proofErr w:type="spellStart"/>
      <w:r>
        <w:rPr>
          <w:rFonts w:ascii="Technika" w:hAnsi="Technika"/>
          <w:sz w:val="18"/>
          <w:szCs w:val="18"/>
        </w:rPr>
        <w:t>Information</w:t>
      </w:r>
      <w:proofErr w:type="spellEnd"/>
      <w:r>
        <w:rPr>
          <w:rFonts w:ascii="Technika" w:hAnsi="Technika"/>
          <w:sz w:val="18"/>
          <w:szCs w:val="18"/>
        </w:rPr>
        <w:t xml:space="preserve"> Systems" je na 201.–250. místě, v oblasti „</w:t>
      </w:r>
      <w:proofErr w:type="spellStart"/>
      <w:r>
        <w:rPr>
          <w:rFonts w:ascii="Technika" w:hAnsi="Technika"/>
          <w:sz w:val="18"/>
          <w:szCs w:val="18"/>
        </w:rPr>
        <w:t>Material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na 201. až 250. místě, v oblasti „</w:t>
      </w:r>
      <w:proofErr w:type="spellStart"/>
      <w:r>
        <w:rPr>
          <w:rFonts w:ascii="Technika" w:hAnsi="Technika"/>
          <w:sz w:val="18"/>
          <w:szCs w:val="18"/>
        </w:rPr>
        <w:t>Mathematics</w:t>
      </w:r>
      <w:proofErr w:type="spellEnd"/>
      <w:r>
        <w:rPr>
          <w:rFonts w:ascii="Technika" w:hAnsi="Technika"/>
          <w:sz w:val="18"/>
          <w:szCs w:val="18"/>
        </w:rPr>
        <w:t>“ na 251.-300. místě a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and Technology“ je ČVUT na 190. místě. Od roku 2020 je ČVUT členem aliance prestižních technických univerzit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 jsou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Munich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Denmark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Eindhoven,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– L</w:t>
      </w:r>
      <w:r>
        <w:rPr>
          <w:rFonts w:ascii="Cambria" w:hAnsi="Cambria"/>
          <w:sz w:val="18"/>
          <w:szCs w:val="18"/>
        </w:rPr>
        <w:t>´</w:t>
      </w:r>
      <w:r>
        <w:rPr>
          <w:rFonts w:ascii="Technika" w:hAnsi="Technika"/>
          <w:sz w:val="18"/>
          <w:szCs w:val="18"/>
        </w:rPr>
        <w:t xml:space="preserve">X, Tallinn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fédérale</w:t>
      </w:r>
      <w:proofErr w:type="spellEnd"/>
      <w:r>
        <w:rPr>
          <w:rFonts w:ascii="Technika" w:hAnsi="Technika"/>
          <w:sz w:val="18"/>
          <w:szCs w:val="18"/>
        </w:rPr>
        <w:t xml:space="preserve"> de Lausanne a </w:t>
      </w:r>
      <w:proofErr w:type="spellStart"/>
      <w:r>
        <w:rPr>
          <w:rFonts w:ascii="Technika" w:hAnsi="Technika"/>
          <w:sz w:val="18"/>
          <w:szCs w:val="18"/>
        </w:rPr>
        <w:t>Technion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Israel</w:t>
      </w:r>
      <w:proofErr w:type="spellEnd"/>
      <w:r>
        <w:rPr>
          <w:rFonts w:ascii="Technika" w:hAnsi="Technika"/>
          <w:sz w:val="18"/>
          <w:szCs w:val="18"/>
        </w:rPr>
        <w:t xml:space="preserve"> Institute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Technology. Více na </w:t>
      </w:r>
      <w:hyperlink r:id="rId14" w:history="1">
        <w:r>
          <w:rPr>
            <w:rStyle w:val="Hypertextovodkaz"/>
            <w:rFonts w:ascii="Technika" w:hAnsi="Technika"/>
            <w:sz w:val="18"/>
            <w:szCs w:val="18"/>
          </w:rPr>
          <w:t>www.cvut.cz</w:t>
        </w:r>
      </w:hyperlink>
      <w:r>
        <w:rPr>
          <w:rFonts w:ascii="Technika" w:hAnsi="Technika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 </w:t>
      </w:r>
      <w:r>
        <w:rPr>
          <w:rFonts w:ascii="Technika" w:hAnsi="Technika"/>
          <w:sz w:val="18"/>
          <w:szCs w:val="18"/>
        </w:rPr>
        <w:t xml:space="preserve"> </w:t>
      </w:r>
    </w:p>
    <w:sectPr w:rsidR="004D222A" w:rsidRPr="001B421C" w:rsidSect="00017E3B">
      <w:headerReference w:type="default" r:id="rId15"/>
      <w:headerReference w:type="first" r:id="rId16"/>
      <w:footerReference w:type="first" r:id="rId17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1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0065bd" stroked="f" strokeweight=".5pt" w14:anchorId="7A89C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42BF46EA">
              <v:stroke joinstyle="miter"/>
              <v:path gradientshapeok="t" o:connecttype="rect"/>
            </v:shapetype>
            <v:shape id="Rámec4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>
              <v:fill opacity="0"/>
              <v:textbox inset="0,0,0,0">
                <w:txbxContent>
                  <w:p w:rsidR="006B5DEB" w:rsidRDefault="002F64B1" w14:paraId="3CF33C5B" w14:textId="7777777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color="#0065bd" strokeweight=".34mm" w14:anchorId="10E4F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370FF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36D9B29B">
              <v:stroke joinstyle="miter"/>
              <v:path gradientshapeok="t" o:connecttype="rect"/>
            </v:shapetype>
            <v:shape id="Rámec1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>
              <v:fill opacity="0"/>
              <v:textbox inset="0,0,0,0">
                <w:txbxContent>
                  <w:p w:rsidRPr="004764D3" w:rsidR="000E25B4" w:rsidP="000E25B4" w:rsidRDefault="000E25B4" w14:paraId="284DDEAD" w14:textId="45028BD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Pr="001E3831" w:rsidR="000E25B4" w:rsidP="000E25B4" w:rsidRDefault="000E25B4" w14:paraId="27EB300E" w14:textId="5E91EAF0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Pr="001E3831" w:rsidR="000E25B4" w:rsidP="000E25B4" w:rsidRDefault="000E25B4" w14:paraId="75B811FF" w14:textId="375C09D1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="006B5DEB" w:rsidRDefault="000A2137" w14:paraId="6E618EB4" w14:textId="0DFFC312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 id="Rámec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w14:anchorId="66E48759">
              <v:fill opacity="0"/>
              <v:textbox inset="0,0,0,0">
                <w:txbxContent>
                  <w:p w:rsidR="006B5DEB" w:rsidRDefault="002F64B1" w14:paraId="08897D5A" w14:textId="7777777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370FF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56D4382">
              <v:stroke joinstyle="miter"/>
              <v:path gradientshapeok="t" o:connecttype="rect"/>
            </v:shapetype>
            <v:shape id="Rámec3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>
              <v:fill opacity="0"/>
              <v:textbox inset="0,0,0,0">
                <w:txbxContent>
                  <w:p w:rsidRPr="001E3831" w:rsidR="000E25B4" w:rsidP="000E25B4" w:rsidRDefault="000E25B4" w14:paraId="553F27B3" w14:textId="28CCD91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="006B5DEB" w:rsidRDefault="000A2137" w14:paraId="51C47E32" w14:textId="505B2FA2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40BD9"/>
    <w:rsid w:val="00046B10"/>
    <w:rsid w:val="0005338B"/>
    <w:rsid w:val="00073821"/>
    <w:rsid w:val="000A2137"/>
    <w:rsid w:val="000D3D00"/>
    <w:rsid w:val="000E25B4"/>
    <w:rsid w:val="00103670"/>
    <w:rsid w:val="00126B5B"/>
    <w:rsid w:val="001B273A"/>
    <w:rsid w:val="001B421C"/>
    <w:rsid w:val="002873C9"/>
    <w:rsid w:val="002C1EE7"/>
    <w:rsid w:val="002C6094"/>
    <w:rsid w:val="002F64B1"/>
    <w:rsid w:val="00370FF7"/>
    <w:rsid w:val="0045347D"/>
    <w:rsid w:val="004829B0"/>
    <w:rsid w:val="004857AE"/>
    <w:rsid w:val="00497F79"/>
    <w:rsid w:val="004D222A"/>
    <w:rsid w:val="00587F03"/>
    <w:rsid w:val="005A239E"/>
    <w:rsid w:val="005E14BF"/>
    <w:rsid w:val="00621D77"/>
    <w:rsid w:val="0062368E"/>
    <w:rsid w:val="007070C1"/>
    <w:rsid w:val="00713585"/>
    <w:rsid w:val="00725AA1"/>
    <w:rsid w:val="00786352"/>
    <w:rsid w:val="00812652"/>
    <w:rsid w:val="00820875"/>
    <w:rsid w:val="00825678"/>
    <w:rsid w:val="008E5F0C"/>
    <w:rsid w:val="008F4E87"/>
    <w:rsid w:val="00951E1A"/>
    <w:rsid w:val="0095369B"/>
    <w:rsid w:val="009B313A"/>
    <w:rsid w:val="00A00F3C"/>
    <w:rsid w:val="00A4319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D3DDF"/>
    <w:rsid w:val="00EF0418"/>
    <w:rsid w:val="00F2665C"/>
    <w:rsid w:val="00FD3708"/>
    <w:rsid w:val="060276FF"/>
    <w:rsid w:val="07C8979E"/>
    <w:rsid w:val="19C3C52A"/>
    <w:rsid w:val="206ADCDE"/>
    <w:rsid w:val="23361C79"/>
    <w:rsid w:val="2B31B6E5"/>
    <w:rsid w:val="436C8BD0"/>
    <w:rsid w:val="50C0399F"/>
    <w:rsid w:val="50C5C879"/>
    <w:rsid w:val="54ABDE4D"/>
    <w:rsid w:val="76E7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.cvut.cz/cs/uchazeci/celozivotni-vzdelavani/54009-development-nemovitost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fakulta/organizacni-struktura/ustavy/30-ustav-nauky-o-budova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fakulta/lide/304-michal-kohou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ottokat@fa.cvut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vu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8" ma:contentTypeDescription="Vytvoří nový dokument" ma:contentTypeScope="" ma:versionID="649ed39bf62a3d7665dee0203de8a763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12aa226872c19bbefb623e35cdb7b68a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149a91f-40a1-409f-9457-605c3b11754f"/>
    <ds:schemaRef ds:uri="c2bd90fa-4ccc-49f7-b47e-5d2def31dd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9D741-1AD0-4BE7-9E63-CD597C766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2</cp:revision>
  <dcterms:created xsi:type="dcterms:W3CDTF">2024-06-13T07:32:00Z</dcterms:created>
  <dcterms:modified xsi:type="dcterms:W3CDTF">2024-06-13T07:32:00Z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